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embeddings/Microsoft_Excel_Worksheet9.xlsx" ContentType="application/vnd.openxmlformats-officedocument.spreadsheetml.sheet"/>
  <Override PartName="/word/embeddings/Microsoft_Excel_Worksheet8.xlsx" ContentType="application/vnd.openxmlformats-officedocument.spreadsheetml.sheet"/>
  <Override PartName="/word/embeddings/Microsoft_Excel_Worksheet7.xlsx" ContentType="application/vnd.openxmlformats-officedocument.spreadsheetml.sheet"/>
  <Override PartName="/word/embeddings/Microsoft_Excel_Worksheet6.xlsx" ContentType="application/vnd.openxmlformats-officedocument.spreadsheetml.sheet"/>
  <Override PartName="/word/embeddings/Microsoft_Excel_Worksheet5.xlsx" ContentType="application/vnd.openxmlformats-officedocument.spreadsheetml.sheet"/>
  <Override PartName="/word/embeddings/Microsoft_Excel_Worksheet4.xlsx" ContentType="application/vnd.openxmlformats-officedocument.spreadsheetml.sheet"/>
  <Override PartName="/word/embeddings/Microsoft_Excel_Worksheet3.xlsx" ContentType="application/vnd.openxmlformats-officedocument.spreadsheetml.sheet"/>
  <Override PartName="/word/embeddings/oleObject1.bin" ContentType="application/vnd.openxmlformats-officedocument.oleObject"/>
  <Override PartName="/word/embeddings/Microsoft_Excel_Worksheet2.xlsx" ContentType="application/vnd.openxmlformats-officedocument.spreadsheetml.sheet"/>
  <Override PartName="/word/embeddings/Microsoft_Excel_Worksheet1.xlsx" ContentType="application/vnd.openxmlformats-officedocument.spreadsheetml.sheet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iagrams/drawing169.xml" ContentType="application/vnd.openxmlformats-officedocument.drawingml.diagramDrawing+xml"/>
  <Override PartName="/word/diagrams/data169.xml" ContentType="application/vnd.openxmlformats-officedocument.drawingml.diagramData+xml"/>
  <Override PartName="/word/diagrams/drawing158.xml" ContentType="application/vnd.openxmlformats-officedocument.drawingml.diagramDrawing+xml"/>
  <Override PartName="/word/diagrams/colors158.xml" ContentType="application/vnd.openxmlformats-officedocument.drawingml.diagramColors+xml"/>
  <Override PartName="/word/diagrams/quickStyle158.xml" ContentType="application/vnd.openxmlformats-officedocument.drawingml.diagramStyle+xml"/>
  <Override PartName="/word/diagrams/layout158.xml" ContentType="application/vnd.openxmlformats-officedocument.drawingml.diagramLayout+xml"/>
  <Override PartName="/word/diagrams/data158.xml" ContentType="application/vnd.openxmlformats-officedocument.drawingml.diagramData+xml"/>
  <Override PartName="/word/diagrams/drawing157.xml" ContentType="application/vnd.openxmlformats-officedocument.drawingml.diagramDrawing+xml"/>
  <Override PartName="/word/diagrams/quickStyle150.xml" ContentType="application/vnd.openxmlformats-officedocument.drawingml.diagramStyle+xml"/>
  <Override PartName="/word/diagrams/layout157.xml" ContentType="application/vnd.openxmlformats-officedocument.drawingml.diagramLayout+xml"/>
  <Override PartName="/word/diagrams/layout169.xml" ContentType="application/vnd.openxmlformats-officedocument.drawingml.diagramLayout+xml"/>
  <Override PartName="/word/diagrams/colors150.xml" ContentType="application/vnd.openxmlformats-officedocument.drawingml.diagramColors+xml"/>
  <Override PartName="/word/diagrams/data157.xml" ContentType="application/vnd.openxmlformats-officedocument.drawingml.diagramData+xml"/>
  <Override PartName="/word/diagrams/quickStyle157.xml" ContentType="application/vnd.openxmlformats-officedocument.drawingml.diagramStyle+xml"/>
  <Override PartName="/word/diagrams/drawing153.xml" ContentType="application/vnd.openxmlformats-officedocument.drawingml.diagramDrawing+xml"/>
  <Override PartName="/word/diagrams/quickStyle169.xml" ContentType="application/vnd.openxmlformats-officedocument.drawingml.diagramStyle+xml"/>
  <Override PartName="/word/diagrams/colors157.xml" ContentType="application/vnd.openxmlformats-officedocument.drawingml.diagramColors+xml"/>
  <Override PartName="/word/diagrams/data150.xml" ContentType="application/vnd.openxmlformats-officedocument.drawingml.diagramData+xml"/>
  <Override PartName="/word/diagrams/quickStyle153.xml" ContentType="application/vnd.openxmlformats-officedocument.drawingml.diagramStyle+xml"/>
  <Override PartName="/word/diagrams/layout153.xml" ContentType="application/vnd.openxmlformats-officedocument.drawingml.diagramLayout+xml"/>
  <Override PartName="/word/diagrams/data153.xml" ContentType="application/vnd.openxmlformats-officedocument.drawingml.diagramData+xml"/>
  <Override PartName="/word/diagrams/colors169.xml" ContentType="application/vnd.openxmlformats-officedocument.drawingml.diagramColors+xml"/>
  <Override PartName="/word/diagrams/drawing150.xml" ContentType="application/vnd.openxmlformats-officedocument.drawingml.diagramDrawing+xml"/>
  <Override PartName="/word/diagrams/layout150.xml" ContentType="application/vnd.openxmlformats-officedocument.drawingml.diagramLayout+xml"/>
  <Override PartName="/word/diagrams/colors153.xml" ContentType="application/vnd.openxmlformats-officedocument.drawingml.diagramColors+xml"/>
  <Override PartName="/word/charts/chart12.xml" ContentType="application/vnd.openxmlformats-officedocument.drawingml.chart+xml"/>
  <Override PartName="/word/charts/chart11.xml" ContentType="application/vnd.openxmlformats-officedocument.drawingml.chart+xml"/>
  <Override PartName="/word/charts/chart10.xml" ContentType="application/vnd.openxmlformats-officedocument.drawingml.chart+xml"/>
  <Override PartName="/word/charts/chart9.xml" ContentType="application/vnd.openxmlformats-officedocument.drawingml.chart+xml"/>
  <Override PartName="/word/charts/chart8.xml" ContentType="application/vnd.openxmlformats-officedocument.drawingml.chart+xml"/>
  <Override PartName="/word/charts/chart7.xml" ContentType="application/vnd.openxmlformats-officedocument.drawingml.chart+xml"/>
  <Override PartName="/word/charts/chart6.xml" ContentType="application/vnd.openxmlformats-officedocument.drawingml.chart+xml"/>
  <Override PartName="/word/charts/chart5.xml" ContentType="application/vnd.openxmlformats-officedocument.drawingml.chart+xml"/>
  <Override PartName="/word/charts/chart4.xml" ContentType="application/vnd.openxmlformats-officedocument.drawingml.chart+xml"/>
  <Override PartName="/word/charts/chart3.xml" ContentType="application/vnd.openxmlformats-officedocument.drawingml.chart+xml"/>
  <Override PartName="/word/charts/chart2.xml" ContentType="application/vnd.openxmlformats-officedocument.drawingml.chart+xml"/>
  <Override PartName="/word/charts/_rels/chart12.xml.rels" ContentType="application/vnd.openxmlformats-package.relationships+xml"/>
  <Override PartName="/word/charts/_rels/chart11.xml.rels" ContentType="application/vnd.openxmlformats-package.relationships+xml"/>
  <Override PartName="/word/charts/_rels/chart10.xml.rels" ContentType="application/vnd.openxmlformats-package.relationships+xml"/>
  <Override PartName="/word/charts/_rels/chart8.xml.rels" ContentType="application/vnd.openxmlformats-package.relationships+xml"/>
  <Override PartName="/word/charts/_rels/chart7.xml.rels" ContentType="application/vnd.openxmlformats-package.relationships+xml"/>
  <Override PartName="/word/charts/_rels/chart6.xml.rels" ContentType="application/vnd.openxmlformats-package.relationships+xml"/>
  <Override PartName="/word/charts/_rels/chart3.xml.rels" ContentType="application/vnd.openxmlformats-package.relationships+xml"/>
  <Override PartName="/word/charts/_rels/chart2.xml.rels" ContentType="application/vnd.openxmlformats-package.relationships+xml"/>
  <Override PartName="/word/charts/_rels/chart9.xml.rels" ContentType="application/vnd.openxmlformats-package.relationships+xml"/>
  <Override PartName="/word/charts/_rels/chart1.xml.rels" ContentType="application/vnd.openxmlformats-package.relationships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media/image21.jpeg" ContentType="image/jpeg"/>
  <Override PartName="/word/media/image20.jpeg" ContentType="image/jpeg"/>
  <Override PartName="/word/media/image19.png" ContentType="image/png"/>
  <Override PartName="/word/media/image18.jpeg" ContentType="image/jpeg"/>
  <Override PartName="/word/media/image3.png" ContentType="image/png"/>
  <Override PartName="/word/media/image17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7.jpeg" ContentType="image/jpeg"/>
  <Override PartName="/word/media/image6.jpeg" ContentType="image/jpeg"/>
  <Override PartName="/word/media/image22.jpeg" ContentType="image/jpeg"/>
  <Override PartName="/word/media/image4.png" ContentType="image/png"/>
  <Override PartName="/word/media/image5.jpeg" ContentType="image/jpeg"/>
  <Override PartName="/word/media/image16.jpeg" ContentType="image/jpeg"/>
  <Override PartName="/word/media/image2.jpeg" ContentType="image/jpe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CCCCFF"/>
  <w:body>
    <w:p>
      <w:pPr>
        <w:pStyle w:val="Normal"/>
        <w:spacing w:lineRule="auto" w:line="240" w:before="0" w:after="0"/>
        <w:jc w:val="center"/>
        <w:rPr>
          <w:rFonts w:cs="TimesNewRomanPS-BoldMT"/>
          <w:b/>
          <w:b/>
          <w:bCs/>
          <w:sz w:val="28"/>
          <w:szCs w:val="28"/>
        </w:rPr>
      </w:pPr>
      <w:r>
        <w:rPr>
          <w:rFonts w:cs="TimesNewRomanPS-BoldMT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NewRomanPS-BoldMT" w:hAnsi="TimesNewRomanPS-BoldMT" w:cs="TimesNewRomanPS-BoldMT"/>
          <w:b/>
          <w:b/>
          <w:bCs/>
          <w:sz w:val="28"/>
          <w:szCs w:val="28"/>
          <w:lang w:val="sr-CS"/>
        </w:rPr>
      </w:pPr>
      <w:r>
        <w:rPr/>
        <w:drawing>
          <wp:anchor behindDoc="0" distT="0" distB="0" distL="0" distR="0" simplePos="0" locked="0" layoutInCell="1" allowOverlap="1" relativeHeight="18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126615" cy="1964690"/>
            <wp:effectExtent l="0" t="0" r="0" b="0"/>
            <wp:wrapTopAndBottom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NewRomanPS-BoldMT" w:hAnsi="TimesNewRomanPS-BoldMT" w:cs="TimesNewRomanPS-BoldMT"/>
          <w:b/>
          <w:b/>
          <w:bCs/>
          <w:sz w:val="28"/>
          <w:szCs w:val="28"/>
          <w:lang w:val="sr-CS"/>
        </w:rPr>
      </w:pPr>
      <w:r>
        <w:rPr>
          <w:rFonts w:cs="TimesNewRomanPS-BoldMT" w:ascii="TimesNewRomanPS-BoldMT" w:hAnsi="TimesNewRomanPS-BoldMT"/>
          <w:b/>
          <w:bCs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jc w:val="center"/>
        <w:rPr>
          <w:rFonts w:ascii="TimesNewRomanPS-BoldMT" w:hAnsi="TimesNewRomanPS-BoldMT" w:cs="TimesNewRomanPS-BoldMT"/>
          <w:b/>
          <w:b/>
          <w:bCs/>
          <w:sz w:val="28"/>
          <w:szCs w:val="28"/>
          <w:lang w:val="sr-CS"/>
        </w:rPr>
      </w:pPr>
      <w:r>
        <w:rPr>
          <w:rFonts w:cs="TimesNewRomanPS-BoldMT" w:ascii="TimesNewRomanPS-BoldMT" w:hAnsi="TimesNewRomanPS-BoldMT"/>
          <w:b/>
          <w:bCs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jc w:val="center"/>
        <w:rPr>
          <w:rFonts w:ascii="TimesNewRomanPSMT" w:hAnsi="TimesNewRomanPSMT" w:cs="TimesNewRomanPSMT"/>
          <w:sz w:val="52"/>
          <w:szCs w:val="52"/>
          <w:lang w:val="sr-CS"/>
        </w:rPr>
      </w:pPr>
      <w:r>
        <w:rPr>
          <w:rFonts w:cs="TimesNewRomanPS-BoldMT" w:ascii="TimesNewRomanPS-BoldMT" w:hAnsi="TimesNewRomanPS-BoldMT"/>
          <w:b/>
          <w:bCs/>
          <w:sz w:val="52"/>
          <w:szCs w:val="52"/>
        </w:rPr>
        <w:t>Грађански  водич</w:t>
      </w:r>
    </w:p>
    <w:p>
      <w:pPr>
        <w:pStyle w:val="Normal"/>
        <w:spacing w:lineRule="auto" w:line="240" w:before="0" w:after="0"/>
        <w:jc w:val="center"/>
        <w:rPr>
          <w:rFonts w:ascii="TimesNewRomanPSMT" w:hAnsi="TimesNewRomanPSMT" w:cs="TimesNewRomanPSMT"/>
          <w:sz w:val="28"/>
          <w:szCs w:val="28"/>
          <w:lang w:val="sr-CS"/>
        </w:rPr>
      </w:pPr>
      <w:r>
        <w:rPr>
          <w:rFonts w:cs="TimesNewRomanPSMT" w:ascii="TimesNewRomanPSMT" w:hAnsi="TimesNewRomanPSMT"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jc w:val="center"/>
        <w:rPr>
          <w:rFonts w:ascii="TimesNewRomanPSMT" w:hAnsi="TimesNewRomanPSMT" w:cs="TimesNewRomanPSMT"/>
          <w:sz w:val="28"/>
          <w:szCs w:val="28"/>
          <w:lang w:val="sr-CS"/>
        </w:rPr>
      </w:pPr>
      <w:r>
        <w:rPr>
          <w:rFonts w:cs="TimesNewRomanPSMT" w:ascii="TimesNewRomanPSMT" w:hAnsi="TimesNewRomanPSMT"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NewRomanPSMT" w:ascii="TimesNewRomanPSMT" w:hAnsi="TimesNewRomanPSMT"/>
          <w:sz w:val="28"/>
          <w:szCs w:val="28"/>
        </w:rPr>
        <w:t>кроз</w:t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96"/>
          <w:szCs w:val="96"/>
          <w:lang w:val="sr-CS"/>
        </w:rPr>
      </w:pPr>
      <w:r>
        <w:rPr>
          <w:rFonts w:cs="Times New Roman" w:ascii="Times New Roman" w:hAnsi="Times New Roman"/>
          <w:b/>
          <w:sz w:val="96"/>
          <w:szCs w:val="96"/>
          <w:lang w:val="sr-CS"/>
        </w:rPr>
        <w:t xml:space="preserve">БУЏЕТ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72"/>
          <w:szCs w:val="72"/>
          <w:lang w:val="sr-CS"/>
        </w:rPr>
      </w:pPr>
      <w:r>
        <w:rPr>
          <w:rFonts w:cs="Times New Roman" w:ascii="Times New Roman" w:hAnsi="Times New Roman"/>
          <w:sz w:val="72"/>
          <w:szCs w:val="72"/>
        </w:rPr>
        <w:t>ОПШТИН</w:t>
      </w:r>
      <w:r>
        <w:rPr>
          <w:rFonts w:cs="Times New Roman" w:ascii="Times New Roman" w:hAnsi="Times New Roman"/>
          <w:sz w:val="72"/>
          <w:szCs w:val="72"/>
          <w:lang w:val="sr-CS"/>
        </w:rPr>
        <w:t>Е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72"/>
          <w:szCs w:val="72"/>
          <w:lang w:val="sr-CS"/>
        </w:rPr>
      </w:pPr>
      <w:r>
        <w:rPr>
          <w:rFonts w:cs="Times New Roman" w:ascii="Times New Roman" w:hAnsi="Times New Roman"/>
          <w:color w:val="333333"/>
          <w:sz w:val="72"/>
          <w:szCs w:val="72"/>
          <w:lang w:val="sr-CS"/>
        </w:rPr>
        <w:t>ВЛАДИЧИН ХАН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72"/>
          <w:szCs w:val="72"/>
          <w:lang w:val="sr-CS"/>
        </w:rPr>
      </w:pPr>
      <w:r>
        <w:rPr>
          <w:rFonts w:cs="Times New Roman" w:ascii="Times New Roman" w:hAnsi="Times New Roman"/>
          <w:color w:val="333333"/>
          <w:sz w:val="72"/>
          <w:szCs w:val="72"/>
          <w:lang w:val="sr-CS"/>
        </w:rPr>
        <w:t>ЗА 20</w:t>
      </w:r>
      <w:r>
        <w:rPr>
          <w:rFonts w:cs="Times New Roman" w:ascii="Times New Roman" w:hAnsi="Times New Roman"/>
          <w:color w:val="333333"/>
          <w:sz w:val="72"/>
          <w:szCs w:val="72"/>
        </w:rPr>
        <w:t>26</w:t>
      </w:r>
      <w:r>
        <w:rPr>
          <w:rFonts w:cs="Times New Roman" w:ascii="Times New Roman" w:hAnsi="Times New Roman"/>
          <w:color w:val="333333"/>
          <w:sz w:val="72"/>
          <w:szCs w:val="72"/>
          <w:lang w:val="sr-CS"/>
        </w:rPr>
        <w:t>. ГОДИНУ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72"/>
          <w:szCs w:val="72"/>
          <w:lang w:val="sr-CS"/>
        </w:rPr>
      </w:pPr>
      <w:r>
        <w:rPr>
          <w:rFonts w:cs="Times New Roman" w:ascii="Times New Roman" w:hAnsi="Times New Roman"/>
          <w:color w:val="333333"/>
          <w:sz w:val="72"/>
          <w:szCs w:val="72"/>
          <w:lang w:val="sr-CS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36"/>
          <w:szCs w:val="36"/>
          <w:lang w:val="sr-CS"/>
        </w:rPr>
      </w:pPr>
      <w:r>
        <w:rPr>
          <w:rFonts w:cs="Times New Roman" w:ascii="Times New Roman" w:hAnsi="Times New Roman"/>
          <w:color w:val="333333"/>
          <w:sz w:val="36"/>
          <w:szCs w:val="36"/>
          <w:lang w:val="sr-CS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36"/>
          <w:szCs w:val="36"/>
          <w:lang w:val="sr-CS"/>
        </w:rPr>
      </w:pPr>
      <w:r>
        <w:rPr>
          <w:rFonts w:cs="Times New Roman" w:ascii="Times New Roman" w:hAnsi="Times New Roman"/>
          <w:color w:val="333333"/>
          <w:sz w:val="36"/>
          <w:szCs w:val="36"/>
          <w:lang w:val="sr-CS"/>
        </w:rPr>
        <w:t>У Владичином Хану, децембар 20</w:t>
      </w:r>
      <w:r>
        <w:rPr>
          <w:rFonts w:cs="Times New Roman" w:ascii="Times New Roman" w:hAnsi="Times New Roman"/>
          <w:color w:val="333333"/>
          <w:sz w:val="36"/>
          <w:szCs w:val="36"/>
        </w:rPr>
        <w:t>25</w:t>
      </w:r>
      <w:r>
        <w:rPr>
          <w:rFonts w:cs="Times New Roman" w:ascii="Times New Roman" w:hAnsi="Times New Roman"/>
          <w:color w:val="333333"/>
          <w:sz w:val="36"/>
          <w:szCs w:val="36"/>
          <w:lang w:val="sr-CS"/>
        </w:rPr>
        <w:t>. године</w:t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36"/>
          <w:szCs w:val="36"/>
          <w:lang w:val="sr-CS"/>
        </w:rPr>
      </w:pPr>
      <w:r>
        <w:rPr>
          <w:rFonts w:cs="Times New Roman" w:ascii="Times New Roman" w:hAnsi="Times New Roman"/>
          <w:color w:val="333333"/>
          <w:sz w:val="36"/>
          <w:szCs w:val="36"/>
          <w:lang w:val="sr-CS"/>
        </w:rPr>
      </w:r>
    </w:p>
    <w:p>
      <w:pPr>
        <w:pStyle w:val="Normal"/>
        <w:jc w:val="center"/>
        <w:rPr>
          <w:rFonts w:ascii="Times New Roman" w:hAnsi="Times New Roman" w:cs="Times New Roman"/>
          <w:color w:val="333333"/>
          <w:sz w:val="36"/>
          <w:szCs w:val="36"/>
          <w:lang w:val="sr-CS"/>
        </w:rPr>
      </w:pPr>
      <w:r>
        <w:rPr>
          <w:rFonts w:cs="Times New Roman" w:ascii="Times New Roman" w:hAnsi="Times New Roman"/>
          <w:color w:val="333333"/>
          <w:sz w:val="36"/>
          <w:szCs w:val="36"/>
          <w:lang w:val="sr-CS"/>
        </w:rPr>
      </w:r>
    </w:p>
    <w:p>
      <w:pPr>
        <w:pStyle w:val="Normal"/>
        <w:jc w:val="center"/>
        <w:rPr>
          <w:rFonts w:ascii="TimesNewRomanPSMT" w:hAnsi="TimesNewRomanPSMT" w:cs="TimesNewRomanPSMT"/>
          <w:color w:val="808080"/>
          <w:sz w:val="44"/>
          <w:szCs w:val="44"/>
          <w:lang w:val="sr-CS"/>
        </w:rPr>
      </w:pPr>
      <w:r>
        <w:rPr>
          <w:rFonts w:cs="TimesNewRomanPSMT" w:ascii="TimesNewRomanPSMT" w:hAnsi="TimesNewRomanPSMT"/>
          <w:color w:val="808080"/>
          <w:sz w:val="44"/>
          <w:szCs w:val="44"/>
        </w:rPr>
        <w:t>Садржај</w:t>
      </w:r>
    </w:p>
    <w:p>
      <w:pPr>
        <w:pStyle w:val="Normal"/>
        <w:spacing w:lineRule="auto" w:line="240" w:before="0" w:after="0"/>
        <w:ind w:left="360" w:hanging="0"/>
        <w:rPr>
          <w:rFonts w:ascii="TimesNewRomanPSMT" w:hAnsi="TimesNewRomanPSMT" w:cs="TimesNewRomanPSMT"/>
          <w:color w:val="000000"/>
          <w:sz w:val="48"/>
          <w:szCs w:val="48"/>
          <w:lang w:val="sr-CS"/>
        </w:rPr>
      </w:pPr>
      <w:r>
        <w:rPr>
          <w:rFonts w:cs="TimesNewRomanPSMT" w:ascii="TimesNewRomanPSMT" w:hAnsi="TimesNewRomanPSMT"/>
          <w:color w:val="000000"/>
          <w:sz w:val="48"/>
          <w:szCs w:val="48"/>
          <w:lang w:val="sr-C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NewRomanPSMT" w:hAnsi="TimesNewRomanPSMT" w:cs="TimesNewRomanPSMT"/>
          <w:color w:val="000000"/>
          <w:sz w:val="48"/>
          <w:szCs w:val="48"/>
          <w:lang w:val="sr-CS"/>
        </w:rPr>
      </w:pPr>
      <w:r>
        <w:rPr>
          <w:rFonts w:cs="TimesNewRomanPSMT" w:ascii="TimesNewRomanPSMT" w:hAnsi="TimesNewRomanPSMT"/>
          <w:color w:val="000000"/>
          <w:sz w:val="48"/>
          <w:szCs w:val="48"/>
        </w:rPr>
        <w:t xml:space="preserve">Увод </w:t>
      </w:r>
      <w:r>
        <w:rPr>
          <w:rFonts w:cs="TimesNewRomanPSMT" w:ascii="TimesNewRomanPSMT" w:hAnsi="TimesNewRomanPSMT"/>
          <w:color w:val="000000"/>
          <w:sz w:val="48"/>
          <w:szCs w:val="48"/>
          <w:lang w:val="sr-CS"/>
        </w:rPr>
        <w:t xml:space="preserve">  .................................................</w:t>
      </w:r>
    </w:p>
    <w:p>
      <w:pPr>
        <w:pStyle w:val="Normal"/>
        <w:spacing w:lineRule="auto" w:line="240" w:before="0" w:after="0"/>
        <w:ind w:left="360" w:hanging="0"/>
        <w:rPr>
          <w:rFonts w:ascii="TimesNewRomanPS-BoldMT" w:hAnsi="TimesNewRomanPS-BoldMT" w:cs="TimesNewRomanPS-BoldMT"/>
          <w:b/>
          <w:b/>
          <w:bCs/>
          <w:color w:val="000000"/>
          <w:sz w:val="16"/>
          <w:szCs w:val="16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16"/>
          <w:szCs w:val="16"/>
          <w:lang w:val="sr-C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NewRomanPSMT" w:hAnsi="TimesNewRomanPSMT" w:cs="TimesNewRomanPSMT"/>
          <w:color w:val="000000"/>
          <w:sz w:val="48"/>
          <w:szCs w:val="48"/>
          <w:lang w:val="sr-CS"/>
        </w:rPr>
      </w:pPr>
      <w:r>
        <w:rPr>
          <w:rFonts w:cs="TimesNewRomanPSMT" w:ascii="TimesNewRomanPSMT" w:hAnsi="TimesNewRomanPSMT"/>
          <w:color w:val="000000"/>
          <w:sz w:val="48"/>
          <w:szCs w:val="48"/>
        </w:rPr>
        <w:t xml:space="preserve">Шта је буџет општине? </w:t>
      </w:r>
      <w:r>
        <w:rPr>
          <w:rFonts w:cs="TimesNewRomanPSMT" w:ascii="TimesNewRomanPSMT" w:hAnsi="TimesNewRomanPSMT"/>
          <w:color w:val="000000"/>
          <w:sz w:val="48"/>
          <w:szCs w:val="48"/>
          <w:lang w:val="sr-CS"/>
        </w:rPr>
        <w:t>....................</w:t>
      </w:r>
    </w:p>
    <w:p>
      <w:pPr>
        <w:pStyle w:val="Normal"/>
        <w:spacing w:lineRule="auto" w:line="240" w:before="0" w:after="0"/>
        <w:ind w:left="360" w:hanging="0"/>
        <w:rPr>
          <w:rFonts w:ascii="TimesNewRomanPS-BoldMT" w:hAnsi="TimesNewRomanPS-BoldMT" w:cs="TimesNewRomanPS-BoldMT"/>
          <w:b/>
          <w:b/>
          <w:bCs/>
          <w:color w:val="000000"/>
          <w:sz w:val="16"/>
          <w:szCs w:val="16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16"/>
          <w:szCs w:val="16"/>
          <w:lang w:val="sr-C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NewRomanPSMT" w:hAnsi="TimesNewRomanPSMT" w:cs="TimesNewRomanPSMT"/>
          <w:color w:val="000000"/>
          <w:sz w:val="48"/>
          <w:szCs w:val="48"/>
          <w:lang w:val="sr-CS"/>
        </w:rPr>
      </w:pPr>
      <w:r>
        <w:rPr>
          <w:rFonts w:cs="TimesNewRomanPSMT" w:ascii="TimesNewRomanPSMT" w:hAnsi="TimesNewRomanPSMT"/>
          <w:color w:val="000000"/>
          <w:sz w:val="48"/>
          <w:szCs w:val="48"/>
        </w:rPr>
        <w:t xml:space="preserve">Ко прави буџет општине? </w:t>
      </w:r>
      <w:r>
        <w:rPr>
          <w:rFonts w:cs="TimesNewRomanPSMT" w:ascii="TimesNewRomanPSMT" w:hAnsi="TimesNewRomanPSMT"/>
          <w:color w:val="000000"/>
          <w:sz w:val="48"/>
          <w:szCs w:val="48"/>
          <w:lang w:val="sr-CS"/>
        </w:rPr>
        <w:t>................</w:t>
      </w:r>
    </w:p>
    <w:p>
      <w:pPr>
        <w:pStyle w:val="Normal"/>
        <w:spacing w:lineRule="auto" w:line="240" w:before="0" w:after="0"/>
        <w:ind w:left="360" w:hanging="0"/>
        <w:rPr>
          <w:rFonts w:ascii="TimesNewRomanPS-BoldMT" w:hAnsi="TimesNewRomanPS-BoldMT" w:cs="TimesNewRomanPS-BoldMT"/>
          <w:b/>
          <w:b/>
          <w:bCs/>
          <w:color w:val="000000"/>
          <w:sz w:val="16"/>
          <w:szCs w:val="16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16"/>
          <w:szCs w:val="16"/>
          <w:lang w:val="sr-C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NewRomanPSMT" w:hAnsi="TimesNewRomanPSMT" w:cs="TimesNewRomanPSMT"/>
          <w:color w:val="000000"/>
          <w:sz w:val="48"/>
          <w:szCs w:val="48"/>
          <w:lang w:val="sr-CS"/>
        </w:rPr>
      </w:pPr>
      <w:r>
        <w:rPr>
          <w:rFonts w:cs="TimesNewRomanPSMT" w:ascii="TimesNewRomanPSMT" w:hAnsi="TimesNewRomanPSMT"/>
          <w:color w:val="000000"/>
          <w:sz w:val="48"/>
          <w:szCs w:val="48"/>
        </w:rPr>
        <w:t xml:space="preserve">Планирани приходи у 2026. години </w:t>
      </w:r>
    </w:p>
    <w:p>
      <w:pPr>
        <w:pStyle w:val="ListParagraph"/>
        <w:rPr>
          <w:rFonts w:ascii="TimesNewRomanPS-BoldMT" w:hAnsi="TimesNewRomanPS-BoldMT" w:cs="TimesNewRomanPS-BoldMT"/>
          <w:b/>
          <w:b/>
          <w:bCs/>
          <w:color w:val="000000"/>
          <w:sz w:val="16"/>
          <w:szCs w:val="16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16"/>
          <w:szCs w:val="16"/>
          <w:lang w:val="sr-C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NewRomanPSMT" w:hAnsi="TimesNewRomanPSMT" w:cs="TimesNewRomanPSMT"/>
          <w:color w:val="000000"/>
          <w:sz w:val="48"/>
          <w:szCs w:val="48"/>
          <w:lang w:val="sr-CS"/>
        </w:rPr>
      </w:pPr>
      <w:r>
        <w:rPr>
          <w:rFonts w:cs="TimesNewRomanPSMT" w:ascii="TimesNewRomanPSMT" w:hAnsi="TimesNewRomanPSMT"/>
          <w:color w:val="000000"/>
          <w:sz w:val="48"/>
          <w:szCs w:val="48"/>
        </w:rPr>
        <w:t xml:space="preserve">Планирани расходи у 2026. години </w:t>
      </w:r>
    </w:p>
    <w:p>
      <w:pPr>
        <w:pStyle w:val="ListParagraph"/>
        <w:rPr>
          <w:rFonts w:ascii="TimesNewRomanPS-BoldMT" w:hAnsi="TimesNewRomanPS-BoldMT" w:cs="TimesNewRomanPS-BoldMT"/>
          <w:b/>
          <w:b/>
          <w:bCs/>
          <w:color w:val="000000"/>
          <w:sz w:val="16"/>
          <w:szCs w:val="16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16"/>
          <w:szCs w:val="16"/>
          <w:lang w:val="sr-CS"/>
        </w:rPr>
      </w:r>
    </w:p>
    <w:p>
      <w:pPr>
        <w:pStyle w:val="Normal"/>
        <w:spacing w:lineRule="auto" w:line="240" w:before="0" w:after="0"/>
        <w:rPr>
          <w:rFonts w:ascii="TimesNewRomanPS-ItalicMT" w:hAnsi="TimesNewRomanPS-ItalicMT" w:cs="TimesNewRomanPS-ItalicMT"/>
          <w:i/>
          <w:i/>
          <w:iCs/>
          <w:color w:val="000000"/>
          <w:sz w:val="48"/>
          <w:szCs w:val="48"/>
          <w:lang w:val="sr-CS"/>
        </w:rPr>
      </w:pPr>
      <w:r>
        <w:rPr>
          <w:rFonts w:cs="TimesNewRomanPS-BoldItalicMT" w:ascii="TimesNewRomanPS-BoldItalicMT" w:hAnsi="TimesNewRomanPS-BoldItalicMT"/>
          <w:b/>
          <w:bCs/>
          <w:i/>
          <w:iCs/>
          <w:color w:val="000000"/>
          <w:sz w:val="48"/>
          <w:szCs w:val="48"/>
        </w:rPr>
        <w:t xml:space="preserve">5.1 </w:t>
      </w:r>
      <w:r>
        <w:rPr>
          <w:rFonts w:cs="TimesNewRomanPS-ItalicMT" w:ascii="TimesNewRomanPS-ItalicMT" w:hAnsi="TimesNewRomanPS-ItalicMT"/>
          <w:i/>
          <w:iCs/>
          <w:color w:val="000000"/>
          <w:sz w:val="48"/>
          <w:szCs w:val="48"/>
        </w:rPr>
        <w:t>На шта се троши новац?</w:t>
      </w:r>
      <w:r>
        <w:rPr>
          <w:rFonts w:cs="TimesNewRomanPS-ItalicMT" w:ascii="TimesNewRomanPS-ItalicMT" w:hAnsi="TimesNewRomanPS-ItalicMT"/>
          <w:i/>
          <w:iCs/>
          <w:color w:val="000000"/>
          <w:sz w:val="48"/>
          <w:szCs w:val="48"/>
          <w:lang w:val="sr-CS"/>
        </w:rPr>
        <w:t>..................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ItalicMT" w:ascii="TimesNewRomanPS-BoldItalicMT" w:hAnsi="TimesNewRomanPS-BoldItalicMT"/>
          <w:b/>
          <w:bCs/>
          <w:i/>
          <w:iCs/>
          <w:color w:val="000000"/>
          <w:sz w:val="40"/>
          <w:szCs w:val="40"/>
        </w:rPr>
        <w:t>5.1.1.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</w:rPr>
        <w:t>Социјална заштита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  <w:lang w:val="sr-CS"/>
        </w:rPr>
        <w:t>..............................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ItalicMT" w:ascii="TimesNewRomanPS-BoldItalicMT" w:hAnsi="TimesNewRomanPS-BoldItalicMT"/>
          <w:b/>
          <w:bCs/>
          <w:i/>
          <w:iCs/>
          <w:color w:val="000000"/>
          <w:sz w:val="40"/>
          <w:szCs w:val="40"/>
        </w:rPr>
        <w:t>5.1.2.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</w:rPr>
        <w:t>Опште јавне услуге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  <w:lang w:val="sr-CS"/>
        </w:rPr>
        <w:t>................................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ItalicMT" w:ascii="TimesNewRomanPS-BoldItalicMT" w:hAnsi="TimesNewRomanPS-BoldItalicMT"/>
          <w:b/>
          <w:bCs/>
          <w:i/>
          <w:iCs/>
          <w:color w:val="000000"/>
          <w:sz w:val="40"/>
          <w:szCs w:val="40"/>
        </w:rPr>
        <w:t>5.1.3.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</w:rPr>
        <w:t>Економки послови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  <w:lang w:val="sr-CS"/>
        </w:rPr>
        <w:t>..................................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ItalicMT" w:ascii="TimesNewRomanPS-BoldItalicMT" w:hAnsi="TimesNewRomanPS-BoldItalicMT"/>
          <w:b/>
          <w:bCs/>
          <w:i/>
          <w:iCs/>
          <w:color w:val="000000"/>
          <w:sz w:val="40"/>
          <w:szCs w:val="40"/>
        </w:rPr>
        <w:t>5.1.4.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</w:rPr>
        <w:t>Заштита и унапређење животне средине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ItalicMT" w:ascii="TimesNewRomanPS-BoldItalicMT" w:hAnsi="TimesNewRomanPS-BoldItalicMT"/>
          <w:b/>
          <w:bCs/>
          <w:i/>
          <w:iCs/>
          <w:color w:val="000000"/>
          <w:sz w:val="40"/>
          <w:szCs w:val="40"/>
        </w:rPr>
        <w:t>5.1.5.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</w:rPr>
        <w:t>Становање и заједница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  <w:lang w:val="sr-CS"/>
        </w:rPr>
        <w:t>........................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ItalicMT" w:ascii="TimesNewRomanPS-BoldItalicMT" w:hAnsi="TimesNewRomanPS-BoldItalicMT"/>
          <w:b/>
          <w:bCs/>
          <w:i/>
          <w:iCs/>
          <w:color w:val="000000"/>
          <w:sz w:val="40"/>
          <w:szCs w:val="40"/>
        </w:rPr>
        <w:t>5.1.6.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</w:rPr>
        <w:t>Здравство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  <w:lang w:val="sr-CS"/>
        </w:rPr>
        <w:t>...............................................</w:t>
      </w:r>
    </w:p>
    <w:p>
      <w:pPr>
        <w:pStyle w:val="Normal"/>
        <w:spacing w:lineRule="auto" w:line="240" w:before="0" w:after="0"/>
        <w:rPr>
          <w:rFonts w:ascii="TimesNewRomanPS-ItalicMT" w:hAnsi="TimesNewRomanPS-ItalicMT" w:cs="TimesNewRomanPS-ItalicMT"/>
          <w:i/>
          <w:i/>
          <w:iCs/>
          <w:color w:val="000000"/>
          <w:sz w:val="40"/>
          <w:szCs w:val="40"/>
          <w:lang w:val="sr-CS"/>
        </w:rPr>
      </w:pPr>
      <w:r>
        <w:rPr>
          <w:rFonts w:cs="TimesNewRomanPS-BoldItalicMT" w:ascii="TimesNewRomanPS-BoldItalicMT" w:hAnsi="TimesNewRomanPS-BoldItalicMT"/>
          <w:b/>
          <w:bCs/>
          <w:i/>
          <w:iCs/>
          <w:color w:val="000000"/>
          <w:sz w:val="40"/>
          <w:szCs w:val="40"/>
        </w:rPr>
        <w:t>5.1.7.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</w:rPr>
        <w:t>Рекреација, спорт, култура и информисање</w:t>
      </w:r>
    </w:p>
    <w:p>
      <w:pPr>
        <w:pStyle w:val="Normal"/>
        <w:spacing w:lineRule="auto" w:line="240" w:before="0" w:after="0"/>
        <w:rPr>
          <w:rFonts w:ascii="TimesNewRomanPS-ItalicMT" w:hAnsi="TimesNewRomanPS-ItalicMT" w:cs="TimesNewRomanPS-ItalicMT"/>
          <w:i/>
          <w:i/>
          <w:iCs/>
          <w:color w:val="000000"/>
          <w:sz w:val="40"/>
          <w:szCs w:val="40"/>
          <w:lang w:val="sr-CS"/>
        </w:rPr>
      </w:pPr>
      <w:r>
        <w:rPr>
          <w:rFonts w:cs="TimesNewRomanPS-ItalicMT" w:ascii="TimesNewRomanPS-ItalicMT" w:hAnsi="TimesNewRomanPS-ItalicMT"/>
          <w:b/>
          <w:i/>
          <w:iCs/>
          <w:color w:val="000000"/>
          <w:sz w:val="40"/>
          <w:szCs w:val="40"/>
          <w:lang w:val="sr-CS"/>
        </w:rPr>
        <w:t>5.1.8.</w:t>
      </w:r>
      <w:r>
        <w:rPr>
          <w:rFonts w:cs="TimesNewRomanPS-ItalicMT" w:ascii="TimesNewRomanPS-ItalicMT" w:hAnsi="TimesNewRomanPS-ItalicMT"/>
          <w:i/>
          <w:iCs/>
          <w:color w:val="000000"/>
          <w:sz w:val="40"/>
          <w:szCs w:val="40"/>
          <w:lang w:val="sr-CS"/>
        </w:rPr>
        <w:t>Образовање..............................................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8"/>
          <w:szCs w:val="48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48"/>
          <w:szCs w:val="48"/>
          <w:lang w:val="sr-CS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NewRomanPSMT" w:hAnsi="TimesNewRomanPSMT" w:cs="TimesNewRomanPSMT"/>
          <w:color w:val="000000"/>
          <w:sz w:val="40"/>
          <w:szCs w:val="40"/>
          <w:lang w:val="sr-CS"/>
        </w:rPr>
      </w:pPr>
      <w:r>
        <w:rPr>
          <w:rFonts w:cs="TimesNewRomanPSMT" w:ascii="TimesNewRomanPSMT" w:hAnsi="TimesNewRomanPSMT"/>
          <w:color w:val="000000"/>
          <w:sz w:val="44"/>
          <w:szCs w:val="44"/>
        </w:rPr>
        <w:t>Основне карактеристике буџета Општине</w:t>
      </w:r>
    </w:p>
    <w:p>
      <w:pPr>
        <w:pStyle w:val="Normal"/>
        <w:spacing w:lineRule="auto" w:line="240" w:before="0" w:after="0"/>
        <w:ind w:left="360" w:hanging="0"/>
        <w:rPr>
          <w:rFonts w:ascii="TimesNewRomanPSMT" w:hAnsi="TimesNewRomanPSMT" w:cs="TimesNewRomanPSMT"/>
          <w:color w:val="000000"/>
          <w:sz w:val="40"/>
          <w:szCs w:val="40"/>
          <w:lang w:val="sr-CS"/>
        </w:rPr>
      </w:pPr>
      <w:r>
        <w:rPr>
          <w:rFonts w:cs="TimesNewRomanPSMT" w:ascii="TimesNewRomanPSMT" w:hAnsi="TimesNewRomanPSMT"/>
          <w:color w:val="000000"/>
          <w:sz w:val="40"/>
          <w:szCs w:val="40"/>
          <w:lang w:val="sr-CS"/>
        </w:rPr>
      </w:r>
    </w:p>
    <w:p>
      <w:pPr>
        <w:pStyle w:val="Normal"/>
        <w:spacing w:lineRule="auto" w:line="240" w:before="0" w:after="0"/>
        <w:rPr>
          <w:rFonts w:ascii="TimesNewRomanPSMT" w:hAnsi="TimesNewRomanPSMT" w:cs="TimesNewRomanPSMT"/>
          <w:color w:val="000000"/>
          <w:sz w:val="40"/>
          <w:szCs w:val="40"/>
          <w:lang w:val="sr-CS"/>
        </w:rPr>
      </w:pPr>
      <w:r>
        <w:rPr>
          <w:rFonts w:cs="TimesNewRomanPSMT" w:ascii="TimesNewRomanPSMT" w:hAnsi="TimesNewRomanPSMT"/>
          <w:color w:val="000000"/>
          <w:sz w:val="40"/>
          <w:szCs w:val="40"/>
        </w:rPr>
        <w:t xml:space="preserve">Прилог 1 – </w:t>
      </w:r>
      <w:r>
        <w:rPr>
          <w:rFonts w:cs="TimesNewRomanPSMT" w:ascii="TimesNewRomanPSMT" w:hAnsi="TimesNewRomanPSMT"/>
          <w:i/>
          <w:color w:val="000000"/>
          <w:sz w:val="40"/>
          <w:szCs w:val="40"/>
        </w:rPr>
        <w:t>Преглед Капиталних пројеката по секторима, вредностима, годинама и приоритетима</w:t>
      </w:r>
      <w:r>
        <w:rPr>
          <w:rFonts w:cs="TimesNewRomanPSMT" w:ascii="TimesNewRomanPSMT" w:hAnsi="TimesNewRomanPSMT"/>
          <w:color w:val="000000"/>
          <w:sz w:val="40"/>
          <w:szCs w:val="40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NewRomanPSMT" w:hAnsi="TimesNewRomanPSMT" w:cs="TimesNewRomanPSMT"/>
          <w:color w:val="808080"/>
          <w:sz w:val="44"/>
          <w:szCs w:val="44"/>
        </w:rPr>
      </w:pPr>
      <w:r>
        <w:rPr>
          <w:rFonts w:cs="TimesNewRomanPSMT" w:ascii="TimesNewRomanPSMT" w:hAnsi="TimesNewRomanPSMT"/>
          <w:color w:val="808080"/>
          <w:sz w:val="44"/>
          <w:szCs w:val="44"/>
          <w:lang w:val="sr-CS"/>
        </w:rPr>
        <w:t>У</w:t>
      </w:r>
      <w:r>
        <w:rPr>
          <w:rFonts w:cs="TimesNewRomanPSMT" w:ascii="TimesNewRomanPSMT" w:hAnsi="TimesNewRomanPSMT"/>
          <w:color w:val="808080"/>
          <w:sz w:val="44"/>
          <w:szCs w:val="44"/>
        </w:rPr>
        <w:t>вод</w:t>
      </w:r>
    </w:p>
    <w:p>
      <w:pPr>
        <w:pStyle w:val="Normal"/>
        <w:spacing w:lineRule="auto" w:line="240" w:before="0" w:after="0"/>
        <w:rPr>
          <w:rFonts w:ascii="TimesNewRomanPSMT" w:hAnsi="TimesNewRomanPSMT" w:cs="TimesNewRomanPSMT"/>
          <w:color w:val="808080"/>
          <w:sz w:val="44"/>
          <w:szCs w:val="44"/>
        </w:rPr>
      </w:pPr>
      <w:r>
        <w:rPr/>
        <w:drawing>
          <wp:inline distT="0" distB="0" distL="0" distR="0">
            <wp:extent cx="3006725" cy="2158365"/>
            <wp:effectExtent l="0" t="0" r="0" b="0"/>
            <wp:docPr id="2" name="Picture 3" descr="C:\Users\User 1\Downloads\GoranMladenovic202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User 1\Downloads\GoranMladenovic2024-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cs="TimesNewRomanPS-BoldMT"/>
          <w:b/>
          <w:b/>
          <w:bCs/>
          <w:color w:val="000000"/>
          <w:sz w:val="40"/>
          <w:szCs w:val="40"/>
        </w:rPr>
      </w:pPr>
      <w:r>
        <w:rPr>
          <w:rFonts w:cs="Times New Roman" w:ascii="Times New Roman" w:hAnsi="Times New Roman"/>
          <w:b/>
          <w:bCs/>
          <w:color w:val="000000"/>
          <w:lang w:val="sr-CS"/>
        </w:rPr>
        <w:t>ПРЕДСЕДНИК ОПШТИНЕ</w:t>
      </w:r>
      <w:r>
        <w:rPr>
          <w:rFonts w:cs="TimesNewRomanPS-BoldMT" w:ascii="TimesNewRomanPS-BoldMT" w:hAnsi="TimesNewRomanPS-BoldMT"/>
          <w:b/>
          <w:bCs/>
          <w:color w:val="000000"/>
          <w:sz w:val="40"/>
          <w:szCs w:val="40"/>
          <w:lang w:val="sr-CS"/>
        </w:rPr>
        <w:t>,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Горан Младеновић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40"/>
          <w:szCs w:val="40"/>
          <w:lang w:val="sr-CS"/>
        </w:rPr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40"/>
          <w:szCs w:val="40"/>
          <w:lang w:val="sr-CS"/>
        </w:rPr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0"/>
          <w:szCs w:val="40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40"/>
          <w:szCs w:val="40"/>
          <w:lang w:val="sr-CS"/>
        </w:rPr>
        <w:t>Драги суграђани,</w:t>
      </w:r>
    </w:p>
    <w:p>
      <w:pPr>
        <w:pStyle w:val="Normal"/>
        <w:spacing w:lineRule="auto" w:line="240" w:before="0" w:after="0"/>
        <w:rPr>
          <w:rFonts w:ascii="TimesNewRomanPS-BoldMT" w:hAnsi="TimesNewRomanPS-BoldMT" w:cs="TimesNewRomanPS-BoldMT"/>
          <w:b/>
          <w:b/>
          <w:bCs/>
          <w:color w:val="000000"/>
          <w:sz w:val="48"/>
          <w:szCs w:val="48"/>
          <w:lang w:val="sr-CS"/>
        </w:rPr>
      </w:pPr>
      <w:r>
        <w:rPr>
          <w:rFonts w:cs="TimesNewRomanPS-BoldMT" w:ascii="TimesNewRomanPS-BoldMT" w:hAnsi="TimesNewRomanPS-BoldMT"/>
          <w:b/>
          <w:bCs/>
          <w:color w:val="000000"/>
          <w:sz w:val="48"/>
          <w:szCs w:val="48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cs="TimesNewRomanPSMT" w:ascii="TimesNewRomanPSMT" w:hAnsi="TimesNewRomanPSMT"/>
          <w:color w:val="000000"/>
          <w:sz w:val="32"/>
          <w:szCs w:val="32"/>
        </w:rPr>
        <w:t>публикација пред Вама представља Грађански водич кроз буџет</w:t>
      </w: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  <w:t xml:space="preserve"> О</w:t>
      </w:r>
      <w:r>
        <w:rPr>
          <w:rFonts w:cs="TimesNewRomanPSMT" w:ascii="TimesNewRomanPSMT" w:hAnsi="TimesNewRomanPSMT"/>
          <w:color w:val="000000"/>
          <w:sz w:val="32"/>
          <w:szCs w:val="32"/>
        </w:rPr>
        <w:t xml:space="preserve">пштине </w:t>
      </w: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  <w:t>Владичин Хан</w:t>
      </w:r>
      <w:r>
        <w:rPr>
          <w:rFonts w:cs="TimesNewRomanPSMT" w:ascii="TimesNewRomanPSMT" w:hAnsi="TimesNewRomanPSMT"/>
          <w:color w:val="000000"/>
          <w:sz w:val="32"/>
          <w:szCs w:val="32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cs="TimesNewRomanPSMT" w:ascii="TimesNewRomanPSMT" w:hAnsi="TimesNewRomanPSMT"/>
          <w:color w:val="000000"/>
          <w:sz w:val="32"/>
          <w:szCs w:val="32"/>
        </w:rPr>
        <w:t>Основна сврха овог документаје да вам пружимо најважније информације о планираном буџету за 2026. годину, као и о околностима и одлукама којима смо се водили приликом његовог састављања.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cs="TimesNewRomanPSMT" w:ascii="TimesNewRomanPSMT" w:hAnsi="TimesNewRomanPSMT"/>
          <w:color w:val="000000"/>
          <w:sz w:val="32"/>
          <w:szCs w:val="32"/>
        </w:rPr>
        <w:t xml:space="preserve">Обзиром да највећи део новца стиже у буџет кроз наплату пореза, наша је обавеза да њиме располажемо у најбољем интересу </w:t>
      </w: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  <w:t>з</w:t>
      </w:r>
      <w:r>
        <w:rPr>
          <w:rFonts w:cs="TimesNewRomanPSMT" w:ascii="TimesNewRomanPSMT" w:hAnsi="TimesNewRomanPSMT"/>
          <w:color w:val="000000"/>
          <w:sz w:val="32"/>
          <w:szCs w:val="32"/>
        </w:rPr>
        <w:t>аједнице и да грађанима представимо тачне и разумљиве податке.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cs="TimesNewRomanPSMT" w:ascii="TimesNewRomanPSMT" w:hAnsi="TimesNewRomanPSMT"/>
          <w:color w:val="000000"/>
          <w:sz w:val="32"/>
          <w:szCs w:val="32"/>
        </w:rPr>
        <w:t xml:space="preserve">Грађански водич кроз буџет намењен је свим грађанима који желе да буду обавештени о плановима локалне самоуправе за </w:t>
      </w: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  <w:t>п</w:t>
      </w:r>
      <w:r>
        <w:rPr>
          <w:rFonts w:cs="TimesNewRomanPSMT" w:ascii="TimesNewRomanPSMT" w:hAnsi="TimesNewRomanPSMT"/>
          <w:color w:val="000000"/>
          <w:sz w:val="32"/>
          <w:szCs w:val="32"/>
        </w:rPr>
        <w:t>рикупљање и трошење новца и да прате реализацију постављених циљева.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cs="TimesNewRomanPSMT" w:ascii="TimesNewRomanPSMT" w:hAnsi="TimesNewRomanPSMT"/>
          <w:color w:val="000000"/>
          <w:sz w:val="32"/>
          <w:szCs w:val="32"/>
        </w:rPr>
        <w:t>Надамо се да је овај документ, својим садржајима и сликовитим приказима објаснио кључна питања и тако учинио буџет приступачнијим и разумљивијим.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cs="TimesNewRomanPSMT" w:ascii="TimesNewRomanPSMT" w:hAnsi="TimesNewRomanPSMT"/>
          <w:color w:val="000000"/>
          <w:sz w:val="32"/>
          <w:szCs w:val="32"/>
        </w:rPr>
        <w:t xml:space="preserve">Ова публикација уједно представља ииницијативу за веће </w:t>
      </w: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  <w:t>у</w:t>
      </w:r>
      <w:r>
        <w:rPr>
          <w:rFonts w:cs="TimesNewRomanPSMT" w:ascii="TimesNewRomanPSMT" w:hAnsi="TimesNewRomanPSMT"/>
          <w:color w:val="000000"/>
          <w:sz w:val="32"/>
          <w:szCs w:val="32"/>
        </w:rPr>
        <w:t>кључивање јавности у буџетске консултације, и ја се надам да ћете и у наредним годинама бити спремни да се одазовете позиву да заједно планирамо развој наше општине.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-BoldMT" w:ascii="TimesNewRomanPS-BoldMT" w:hAnsi="TimesNewRomanPS-BoldMT"/>
          <w:b/>
          <w:bCs/>
          <w:sz w:val="46"/>
          <w:szCs w:val="46"/>
        </w:rPr>
        <w:t xml:space="preserve">2. </w:t>
      </w:r>
      <w:r>
        <w:rPr>
          <w:rFonts w:cs="TimesNewRomanPSMT" w:ascii="TimesNewRomanPSMT" w:hAnsi="TimesNewRomanPSMT"/>
          <w:sz w:val="46"/>
          <w:szCs w:val="46"/>
        </w:rPr>
        <w:t>Шта је буџет општине?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sz w:val="28"/>
          <w:szCs w:val="28"/>
          <w:lang w:val="sr-CS"/>
        </w:rPr>
      </w:pPr>
      <w:r>
        <w:rPr>
          <w:rFonts w:cs="TimesNewRomanPSMT" w:ascii="TimesNewRomanPSMT" w:hAnsi="TimesNewRomanPSMT"/>
          <w:sz w:val="28"/>
          <w:szCs w:val="28"/>
        </w:rPr>
        <w:t>Буџет општине је правни документ који утврђује план прихода и расхода општине за наредну годину. Два основна елемента сваког буџета су приходи и примања с једне стране</w:t>
      </w:r>
      <w:r>
        <w:rPr>
          <w:rFonts w:cs="TimesNewRomanPSMT"/>
          <w:sz w:val="28"/>
          <w:szCs w:val="28"/>
        </w:rPr>
        <w:t xml:space="preserve"> </w:t>
      </w:r>
      <w:r>
        <w:rPr>
          <w:rFonts w:cs="TimesNewRomanPSMT" w:ascii="TimesNewRomanPSMT" w:hAnsi="TimesNewRomanPSMT"/>
          <w:sz w:val="28"/>
          <w:szCs w:val="28"/>
        </w:rPr>
        <w:t xml:space="preserve"> и расходи и издаци са друге. Израда буџета представља сложен процес, који траје готово читаву годину </w:t>
      </w:r>
      <w:r>
        <w:rPr>
          <w:rFonts w:cs="TimesNewRomanPSMT" w:ascii="TimesNewRomanPSMT" w:hAnsi="TimesNewRomanPSMT"/>
          <w:sz w:val="20"/>
          <w:szCs w:val="20"/>
        </w:rPr>
        <w:t>(слика 1).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28"/>
          <w:szCs w:val="28"/>
          <w:lang w:val="sr-CS"/>
        </w:rPr>
      </w:pPr>
      <w:r>
        <w:rPr>
          <w:rFonts w:cs="TimesNewRomanPSMT" w:ascii="TimesNewRomanPSMT" w:hAnsi="TimesNewRomanPSMT"/>
          <w:color w:val="000000"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229870</wp:posOffset>
                </wp:positionH>
                <wp:positionV relativeFrom="paragraph">
                  <wp:posOffset>-3175</wp:posOffset>
                </wp:positionV>
                <wp:extent cx="3749040" cy="975360"/>
                <wp:effectExtent l="0" t="0" r="17145" b="17145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320" cy="9748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bb8de"/>
                            </a:gs>
                            <a:gs pos="50000">
                              <a:srgbClr val="e3e7f4"/>
                            </a:gs>
                            <a:gs pos="100000">
                              <a:srgbClr val="abb8de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abb8de"/>
                          </a:solidFill>
                          <a:round/>
                        </a:ln>
                        <a:effectLst>
                          <a:outerShdw dir="2700000" dist="24130">
                            <a:srgbClr val="2c3e70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 w:after="200"/>
                              <w:contextualSpacing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lang w:val="sr-CS"/>
                              </w:rPr>
                              <w:t>Август – локални орган управе надлежан за финансије доставља упутство за припрему нацрта буџета локалне власти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abb8de" stroked="t" style="position:absolute;margin-left:18.1pt;margin-top:-0.25pt;width:295.1pt;height:76.7pt">
                <w10:wrap type="square"/>
                <v:fill color2="#e3e7f4" o:detectmouseclick="t"/>
                <v:stroke color="#abb8de" weight="12600" joinstyle="round" endcap="flat"/>
                <v:shadow on="t" obscured="f" color="#2c3e70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 w:after="200"/>
                        <w:contextualSpacing/>
                        <w:rPr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lang w:val="sr-CS"/>
                        </w:rPr>
                        <w:t>Август – локални орган управе надлежан за финансије доставља упутство за припрему нацрта буџета локалне власти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tabs>
          <w:tab w:val="left" w:pos="2997" w:leader="none"/>
          <w:tab w:val="center" w:pos="4860" w:leader="none"/>
        </w:tabs>
        <w:spacing w:lineRule="auto" w:line="240" w:before="0" w:after="0"/>
        <w:rPr>
          <w:rFonts w:ascii="TimesNewRomanPSMT" w:hAnsi="TimesNewRomanPSMT" w:cs="TimesNewRomanPSMT"/>
          <w:b/>
          <w:b/>
          <w:color w:val="000000"/>
          <w:sz w:val="32"/>
          <w:szCs w:val="32"/>
          <w:lang w:val="sr-CS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229870</wp:posOffset>
                </wp:positionH>
                <wp:positionV relativeFrom="paragraph">
                  <wp:posOffset>109855</wp:posOffset>
                </wp:positionV>
                <wp:extent cx="3749040" cy="1223645"/>
                <wp:effectExtent l="0" t="0" r="17145" b="17145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320" cy="12229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ed36b"/>
                            </a:gs>
                            <a:gs pos="50000">
                              <a:srgbClr val="fef0cd"/>
                            </a:gs>
                            <a:gs pos="100000">
                              <a:srgbClr val="fed36b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fed36b"/>
                          </a:solidFill>
                          <a:round/>
                        </a:ln>
                        <a:effectLst>
                          <a:outerShdw dir="2700000" dist="24130">
                            <a:srgbClr val="825c00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0" w:after="200"/>
                              <w:contextualSpacing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lang w:val="sr-CS"/>
                              </w:rPr>
                              <w:t>Септембар – Корисници средстава буџета локалне власти достављају предлоге финансијских планова локалном органу управе надлежном за финансије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ed36b" stroked="t" style="position:absolute;margin-left:18.1pt;margin-top:8.65pt;width:295.1pt;height:96.25pt">
                <w10:wrap type="square"/>
                <v:fill color2="#fef0cd" o:detectmouseclick="t"/>
                <v:stroke color="#fed36b" weight="12600" joinstyle="round" endcap="flat"/>
                <v:shadow on="t" obscured="f" color="#825c00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0" w:after="200"/>
                        <w:contextualSpacing/>
                        <w:rPr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lang w:val="sr-CS"/>
                        </w:rPr>
                        <w:t>Септембар – Корисници средстава буџета локалне власти достављају предлоге финансијских планова локалном органу управе надлежном за финансије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b/>
          <w:color w:val="000000"/>
          <w:sz w:val="32"/>
          <w:szCs w:val="32"/>
          <w:lang w:val="sr-CS"/>
        </w:rPr>
        <w:tab/>
        <w:t>↨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tabs>
          <w:tab w:val="left" w:pos="3049" w:leader="none"/>
        </w:tabs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  <w:tab/>
      </w:r>
      <w:r>
        <w:rPr>
          <w:rFonts w:cs="Times New Roman" w:ascii="Times New Roman" w:hAnsi="Times New Roman"/>
          <w:b/>
          <w:color w:val="000000"/>
          <w:sz w:val="32"/>
          <w:szCs w:val="32"/>
          <w:lang w:val="sr-CS"/>
        </w:rPr>
        <w:t>↨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229870</wp:posOffset>
                </wp:positionH>
                <wp:positionV relativeFrom="paragraph">
                  <wp:posOffset>22225</wp:posOffset>
                </wp:positionV>
                <wp:extent cx="3749040" cy="1144905"/>
                <wp:effectExtent l="0" t="0" r="17145" b="17145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320" cy="11444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0" w:after="200"/>
                              <w:contextualSpacing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lang w:val="sr-CS"/>
                              </w:rPr>
                              <w:t>Новембар – локални орган управе надлежан за   финансије доставља нацрт Одлуке о буџету надлежном извршном органу  локалне власти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18.1pt;margin-top:1.75pt;width:295.1pt;height:90.0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0" w:after="200"/>
                        <w:contextualSpacing/>
                        <w:rPr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lang w:val="sr-CS"/>
                        </w:rPr>
                        <w:t>Новембар – локални орган управе надлежан за   финансије доставља нацрт Одлуке о буџету надлежном извршном органу  локалне власти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color w:val="000000"/>
          <w:sz w:val="32"/>
          <w:szCs w:val="32"/>
          <w:lang w:val="sr-CS"/>
        </w:rPr>
      </w:pPr>
      <w:r>
        <w:rPr>
          <w:rFonts w:cs="TimesNewRomanPSMT" w:ascii="TimesNewRomanPSMT" w:hAnsi="TimesNewRomanPSMT"/>
          <w:color w:val="000000"/>
          <w:sz w:val="32"/>
          <w:szCs w:val="32"/>
          <w:lang w:val="sr-CS"/>
        </w:rPr>
      </w:r>
    </w:p>
    <w:p>
      <w:pPr>
        <w:pStyle w:val="Normal"/>
        <w:rPr>
          <w:rFonts w:ascii="TimesNewRomanPSMT" w:hAnsi="TimesNewRomanPSMT" w:cs="TimesNewRomanPSMT"/>
          <w:sz w:val="32"/>
          <w:szCs w:val="32"/>
          <w:lang w:val="sr-CS"/>
        </w:rPr>
      </w:pPr>
      <w:r>
        <w:rPr>
          <w:rFonts w:cs="TimesNewRomanPSMT" w:ascii="TimesNewRomanPSMT" w:hAnsi="TimesNewRomanPSMT"/>
          <w:sz w:val="32"/>
          <w:szCs w:val="32"/>
          <w:lang w:val="sr-CS"/>
        </w:rPr>
      </w:r>
    </w:p>
    <w:p>
      <w:pPr>
        <w:pStyle w:val="Normal"/>
        <w:tabs>
          <w:tab w:val="left" w:pos="3114" w:leader="none"/>
        </w:tabs>
        <w:ind w:firstLine="720"/>
        <w:rPr>
          <w:rFonts w:cs="TimesNewRomanPSMT"/>
          <w:sz w:val="32"/>
          <w:szCs w:val="32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229870</wp:posOffset>
                </wp:positionH>
                <wp:positionV relativeFrom="paragraph">
                  <wp:posOffset>110490</wp:posOffset>
                </wp:positionV>
                <wp:extent cx="3749040" cy="989965"/>
                <wp:effectExtent l="0" t="0" r="17145" b="17145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320" cy="989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bb8de"/>
                            </a:gs>
                            <a:gs pos="50000">
                              <a:srgbClr val="738ac8"/>
                            </a:gs>
                            <a:gs pos="100000">
                              <a:srgbClr val="abb8de"/>
                            </a:gs>
                          </a:gsLst>
                          <a:lin ang="16200000"/>
                        </a:gradFill>
                        <a:ln w="12600">
                          <a:solidFill>
                            <a:srgbClr val="738ac8"/>
                          </a:solidFill>
                          <a:round/>
                        </a:ln>
                        <a:effectLst>
                          <a:outerShdw dir="2700000" dist="24130">
                            <a:srgbClr val="2c3e70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0" w:after="200"/>
                              <w:contextualSpacing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lang w:val="sr-CS"/>
                              </w:rPr>
                              <w:t>Новембар – надлежни извршни орган локалне власти доставља предлог Одлуке о буџету скупштини локалне власти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abb8de" stroked="t" style="position:absolute;margin-left:18.1pt;margin-top:8.7pt;width:295.1pt;height:77.85pt">
                <w10:wrap type="square"/>
                <v:fill color2="#738ac8" o:detectmouseclick="t"/>
                <v:stroke color="#738ac8" weight="12600" joinstyle="round" endcap="flat"/>
                <v:shadow on="t" obscured="f" color="#2c3e70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0" w:after="200"/>
                        <w:contextualSpacing/>
                        <w:rPr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lang w:val="sr-CS"/>
                        </w:rPr>
                        <w:t>Новембар – надлежни извршни орган локалне власти доставља предлог Одлуке о буџету скупштини локалне власти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NewRomanPSMT"/>
          <w:sz w:val="32"/>
          <w:szCs w:val="32"/>
        </w:rPr>
        <w:tab/>
      </w:r>
      <w:r>
        <w:rPr>
          <w:rFonts w:cs="Times New Roman" w:ascii="Times New Roman" w:hAnsi="Times New Roman"/>
          <w:b/>
          <w:color w:val="000000"/>
          <w:sz w:val="32"/>
          <w:szCs w:val="32"/>
          <w:lang w:val="sr-CS"/>
        </w:rPr>
        <w:t>↨</w:t>
      </w:r>
    </w:p>
    <w:p>
      <w:pPr>
        <w:pStyle w:val="Normal"/>
        <w:ind w:firstLine="720"/>
        <w:rPr>
          <w:rFonts w:cs="TimesNewRomanPSMT"/>
          <w:sz w:val="32"/>
          <w:szCs w:val="32"/>
        </w:rPr>
      </w:pPr>
      <w:r>
        <w:rPr>
          <w:rFonts w:cs="TimesNewRomanPSMT"/>
          <w:sz w:val="32"/>
          <w:szCs w:val="32"/>
        </w:rPr>
      </w:r>
    </w:p>
    <w:p>
      <w:pPr>
        <w:pStyle w:val="Normal"/>
        <w:rPr>
          <w:rFonts w:cs="TimesNewRomanPSMT"/>
          <w:sz w:val="32"/>
          <w:szCs w:val="32"/>
        </w:rPr>
      </w:pPr>
      <w:r>
        <w:rPr>
          <w:rFonts w:cs="TimesNewRomanPSMT"/>
          <w:sz w:val="32"/>
          <w:szCs w:val="32"/>
        </w:rP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271145</wp:posOffset>
                </wp:positionH>
                <wp:positionV relativeFrom="paragraph">
                  <wp:posOffset>333375</wp:posOffset>
                </wp:positionV>
                <wp:extent cx="3749040" cy="833120"/>
                <wp:effectExtent l="0" t="0" r="17145" b="17145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320" cy="832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666666"/>
                          </a:solidFill>
                          <a:round/>
                        </a:ln>
                        <a:effectLst>
                          <a:outerShdw dir="2700000" dist="24130">
                            <a:srgbClr val="7f7f7f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lang w:val="sr-CS"/>
                              </w:rPr>
                              <w:t>20. Децембар – Скупштина локалне власти доноси Одлуку о буџету  локалне власти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666666" stroked="t" style="position:absolute;margin-left:21.35pt;margin-top:26.25pt;width:295.1pt;height:65.5pt">
                <w10:wrap type="square"/>
                <v:fill color2="#cccccc" o:detectmouseclick="t"/>
                <v:stroke color="#666666" weight="12600" joinstyle="round" endcap="flat"/>
                <v:shadow on="t" obscured="f" color="#7f7f7f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lang w:val="sr-CS"/>
                        </w:rPr>
                        <w:t>20. Децембар – Скупштина локалне власти доноси Одлуку о буџету  локалне власти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3114" w:leader="none"/>
        </w:tabs>
        <w:rPr>
          <w:rFonts w:cs="TimesNewRomanPSMT"/>
          <w:sz w:val="32"/>
          <w:szCs w:val="32"/>
        </w:rPr>
      </w:pPr>
      <w:r>
        <w:rPr>
          <w:rFonts w:cs="TimesNewRomanPSMT"/>
          <w:sz w:val="32"/>
          <w:szCs w:val="32"/>
        </w:rPr>
        <w:tab/>
      </w:r>
      <w:r>
        <w:rPr>
          <w:rFonts w:cs="Times New Roman" w:ascii="Times New Roman" w:hAnsi="Times New Roman"/>
          <w:b/>
          <w:color w:val="000000"/>
          <w:sz w:val="32"/>
          <w:szCs w:val="32"/>
          <w:lang w:val="sr-CS"/>
        </w:rPr>
        <w:t>↨</w:t>
      </w:r>
    </w:p>
    <w:p>
      <w:pPr>
        <w:pStyle w:val="Normal"/>
        <w:rPr>
          <w:rFonts w:cs="TimesNewRomanPSMT"/>
          <w:sz w:val="32"/>
          <w:szCs w:val="32"/>
        </w:rPr>
      </w:pPr>
      <w:r>
        <w:rPr>
          <w:rFonts w:cs="TimesNewRomanPSMT"/>
          <w:sz w:val="32"/>
          <w:szCs w:val="32"/>
        </w:rPr>
      </w:r>
    </w:p>
    <w:p>
      <w:pPr>
        <w:pStyle w:val="Normal"/>
        <w:rPr>
          <w:rFonts w:cs="TimesNewRomanPSMT"/>
          <w:sz w:val="32"/>
          <w:szCs w:val="32"/>
        </w:rPr>
      </w:pPr>
      <w:r>
        <w:rPr>
          <w:rFonts w:cs="TimesNewRomanPSMT"/>
          <w:sz w:val="32"/>
          <w:szCs w:val="32"/>
        </w:rPr>
      </w:r>
    </w:p>
    <w:p>
      <w:pPr>
        <w:pStyle w:val="Normal"/>
        <w:tabs>
          <w:tab w:val="left" w:pos="934" w:leader="none"/>
        </w:tabs>
        <w:rPr>
          <w:rFonts w:cs="TimesNewRomanPSMT"/>
          <w:sz w:val="32"/>
          <w:szCs w:val="32"/>
          <w:lang w:val="sr-CS"/>
        </w:rPr>
      </w:pPr>
      <w:r>
        <w:rPr>
          <w:rFonts w:cs="TimesNewRomanPSMT"/>
          <w:sz w:val="32"/>
          <w:szCs w:val="32"/>
        </w:rPr>
        <w:tab/>
      </w:r>
    </w:p>
    <w:p>
      <w:pPr>
        <w:pStyle w:val="Normal"/>
        <w:tabs>
          <w:tab w:val="left" w:pos="934" w:leader="none"/>
        </w:tabs>
        <w:rPr>
          <w:rFonts w:cs="TimesNewRomanPSMT"/>
          <w:sz w:val="32"/>
          <w:szCs w:val="32"/>
          <w:lang w:val="sr-CS"/>
        </w:rPr>
      </w:pPr>
      <w:r>
        <w:rPr>
          <w:rFonts w:cs="TimesNewRomanPSMT"/>
          <w:sz w:val="32"/>
          <w:szCs w:val="32"/>
          <w:lang w:val="sr-CS"/>
        </w:rPr>
      </w:r>
    </w:p>
    <w:p>
      <w:pPr>
        <w:pStyle w:val="Normal"/>
        <w:tabs>
          <w:tab w:val="left" w:pos="934" w:leader="none"/>
        </w:tabs>
        <w:rPr>
          <w:rFonts w:ascii="TimesNewRomanPSMT" w:hAnsi="TimesNewRomanPSMT" w:cs="TimesNewRomanPSMT"/>
          <w:sz w:val="46"/>
          <w:szCs w:val="46"/>
          <w:lang w:val="sr-CS"/>
        </w:rPr>
      </w:pPr>
      <w:r>
        <w:rPr>
          <w:rFonts w:cs="TimesNewRomanPS-BoldMT" w:ascii="TimesNewRomanPS-BoldMT" w:hAnsi="TimesNewRomanPS-BoldMT"/>
          <w:b/>
          <w:bCs/>
          <w:sz w:val="46"/>
          <w:szCs w:val="46"/>
        </w:rPr>
        <w:t xml:space="preserve">3. </w:t>
      </w:r>
      <w:r>
        <w:rPr>
          <w:rFonts w:cs="TimesNewRomanPSMT" w:ascii="TimesNewRomanPSMT" w:hAnsi="TimesNewRomanPSMT"/>
          <w:sz w:val="46"/>
          <w:szCs w:val="46"/>
        </w:rPr>
        <w:t>Ко прави буџет општине?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cs="TimesNewRomanPSMT" w:ascii="TimesNewRomanPSMT" w:hAnsi="TimesNewRomanPSMT"/>
          <w:sz w:val="28"/>
          <w:szCs w:val="28"/>
        </w:rPr>
        <w:t>Из општинског буџета се током године подмирују обавезе и врше сва плаћања из делокруга рада локалне самоуправе. Исто тако у буџет се сливају приходи из којих се подмирују те обавезе.</w:t>
      </w:r>
    </w:p>
    <w:p>
      <w:pPr>
        <w:pStyle w:val="Normal"/>
        <w:spacing w:lineRule="auto" w:line="240" w:before="0" w:after="0"/>
        <w:jc w:val="both"/>
        <w:rPr>
          <w:rFonts w:ascii="TimesNewRomanPSMT" w:hAnsi="TimesNewRomanPSMT" w:cs="TimesNewRomanPSMT"/>
          <w:sz w:val="28"/>
          <w:szCs w:val="28"/>
          <w:lang w:val="sr-CS"/>
        </w:rPr>
      </w:pPr>
      <w:r>
        <w:rPr>
          <w:rFonts w:cs="TimesNewRomanPSMT" w:ascii="TimesNewRomanPSMT" w:hAnsi="TimesNewRomanPSMT"/>
          <w:sz w:val="28"/>
          <w:szCs w:val="28"/>
        </w:rPr>
        <w:t xml:space="preserve">Председник општине и локална управа спроводе општинску политику, а главна полуга те политике и развоја је управо буџет. Приликом дефинисања овог за </w:t>
      </w:r>
      <w:r>
        <w:rPr>
          <w:rFonts w:cs="TimesNewRomanPSMT" w:ascii="TimesNewRomanPSMT" w:hAnsi="TimesNewRomanPSMT"/>
          <w:sz w:val="28"/>
          <w:szCs w:val="28"/>
          <w:lang w:val="sr-CS"/>
        </w:rPr>
        <w:t>о</w:t>
      </w:r>
      <w:r>
        <w:rPr>
          <w:rFonts w:cs="TimesNewRomanPSMT" w:ascii="TimesNewRomanPSMT" w:hAnsi="TimesNewRomanPSMT"/>
          <w:sz w:val="28"/>
          <w:szCs w:val="28"/>
        </w:rPr>
        <w:t xml:space="preserve">пштину најважнијег документа, они морају да се воде законским прописима, стратешким приоритетима развоја и другим елементима, као што је приказано у наредној илустрацији  </w:t>
      </w:r>
      <w:r>
        <w:rPr>
          <w:rFonts w:cs="TimesNewRomanPSMT" w:ascii="TimesNewRomanPSMT" w:hAnsi="TimesNewRomanPSMT"/>
          <w:sz w:val="20"/>
          <w:szCs w:val="20"/>
        </w:rPr>
        <w:t>(слика 2.)</w:t>
      </w:r>
      <w:r>
        <w:rPr>
          <w:rFonts w:cs="TimesNewRomanPSMT" w:ascii="TimesNewRomanPSMT" w:hAnsi="TimesNewRomanPSMT"/>
          <w:sz w:val="28"/>
          <w:szCs w:val="28"/>
        </w:rPr>
        <w:t>:</w:t>
      </w:r>
    </w:p>
    <w:p>
      <w:pPr>
        <w:pStyle w:val="Normal"/>
        <w:spacing w:lineRule="auto" w:line="240" w:before="0" w:after="0"/>
        <w:jc w:val="both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  <mc:AlternateContent>
          <mc:Choice Requires="wps">
            <w:drawing>
              <wp:anchor behindDoc="1" distT="0" distB="0" distL="63500" distR="63500" simplePos="0" locked="0" layoutInCell="1" allowOverlap="1" relativeHeight="7">
                <wp:simplePos x="0" y="0"/>
                <wp:positionH relativeFrom="page">
                  <wp:posOffset>875665</wp:posOffset>
                </wp:positionH>
                <wp:positionV relativeFrom="page">
                  <wp:posOffset>3987165</wp:posOffset>
                </wp:positionV>
                <wp:extent cx="5567680" cy="3988435"/>
                <wp:effectExtent l="95250" t="57150" r="72596" b="1232587"/>
                <wp:wrapNone/>
                <wp:docPr id="13" name="Picture 9" descr="image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image4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567040" cy="3987720"/>
                        </a:xfrm>
                        <a:prstGeom prst="rect">
                          <a:avLst/>
                        </a:prstGeom>
                        <a:ln w="76320">
                          <a:solidFill>
                            <a:schemeClr val="accent6">
                              <a:lumMod val="75000"/>
                            </a:schemeClr>
                          </a:solidFill>
                          <a:miter/>
                        </a:ln>
                        <a:effectLst>
                          <a:reflection algn="bl" blurRad="12700" dir="5400000" dist="5000" endPos="28000" rotWithShape="0" stA="28000" sy="-100000"/>
                        </a:effectLst>
                        <a:scene3d>
                          <a:camera prst="orthographicFront"/>
                          <a:lightRig dir="t" rig="threePt">
                            <a:rot lat="0" lon="0" rev="2700000"/>
                          </a:lightRig>
                        </a:scene3d>
                        <a:sp3d>
                          <a:bevelT h="381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Picture 9" stroked="t" style="position:absolute;margin-left:68.95pt;margin-top:313.95pt;width:438.3pt;height:313.95pt;mso-position-horizontal-relative:page;mso-position-vertical-relative:page">
                <v:imagedata r:id="rId5" o:detectmouseclick="t"/>
                <w10:wrap type="none"/>
                <v:stroke color="#148677" weight="76320" joinstyle="miter" endcap="flat"/>
              </v:rect>
            </w:pict>
          </mc:Fallback>
        </mc:AlternateContent>
      </w:r>
    </w:p>
    <w:p>
      <w:pPr>
        <w:pStyle w:val="Normal"/>
        <w:tabs>
          <w:tab w:val="left" w:pos="7485" w:leader="none"/>
        </w:tabs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  <w:tab/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</w:r>
    </w:p>
    <w:p>
      <w:pPr>
        <w:pStyle w:val="Normal"/>
        <w:tabs>
          <w:tab w:val="left" w:pos="3801" w:leader="none"/>
        </w:tabs>
        <w:rPr>
          <w:rFonts w:cs="TimesNewRomanPSMT"/>
          <w:sz w:val="28"/>
          <w:szCs w:val="28"/>
          <w:lang w:val="sr-CS"/>
        </w:rPr>
      </w:pPr>
      <w:r>
        <w:rPr>
          <w:rFonts w:cs="TimesNewRomanPSMT"/>
          <w:sz w:val="28"/>
          <w:szCs w:val="28"/>
          <w:lang w:val="sr-CS"/>
        </w:rPr>
        <w:tab/>
      </w:r>
    </w:p>
    <w:p>
      <w:pPr>
        <w:pStyle w:val="Normal"/>
        <w:tabs>
          <w:tab w:val="left" w:pos="3801" w:leader="none"/>
        </w:tabs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</w:r>
    </w:p>
    <w:p>
      <w:pPr>
        <w:pStyle w:val="Normal"/>
        <w:tabs>
          <w:tab w:val="left" w:pos="3801" w:leader="none"/>
        </w:tabs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</w:r>
    </w:p>
    <w:p>
      <w:pPr>
        <w:pStyle w:val="Normal"/>
        <w:tabs>
          <w:tab w:val="left" w:pos="3801" w:leader="none"/>
        </w:tabs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</w:r>
    </w:p>
    <w:p>
      <w:pPr>
        <w:pStyle w:val="Normal"/>
        <w:tabs>
          <w:tab w:val="left" w:pos="3801" w:leader="none"/>
        </w:tabs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</w:r>
    </w:p>
    <w:p>
      <w:pPr>
        <w:pStyle w:val="Normal"/>
        <w:tabs>
          <w:tab w:val="left" w:pos="3801" w:leader="none"/>
        </w:tabs>
        <w:rPr>
          <w:rFonts w:cs="TimesNewRomanPSMT"/>
          <w:sz w:val="28"/>
          <w:szCs w:val="28"/>
        </w:rPr>
      </w:pPr>
      <w:r>
        <w:rPr>
          <w:rFonts w:cs="TimesNewRomanPSMT"/>
          <w:sz w:val="28"/>
          <w:szCs w:val="28"/>
        </w:rPr>
      </w:r>
    </w:p>
    <w:p>
      <w:pPr>
        <w:pStyle w:val="Normal"/>
        <w:tabs>
          <w:tab w:val="left" w:pos="934" w:leader="none"/>
        </w:tabs>
        <w:rPr>
          <w:rFonts w:ascii="TimesNewRomanPSMT" w:hAnsi="TimesNewRomanPSMT" w:cs="TimesNewRomanPSMT"/>
          <w:sz w:val="46"/>
          <w:szCs w:val="46"/>
          <w:lang w:val="sr-CS"/>
        </w:rPr>
      </w:pPr>
      <w:r>
        <w:rPr>
          <w:rFonts w:cs="TimesNewRomanPS-BoldMT" w:ascii="TimesNewRomanPS-BoldMT" w:hAnsi="TimesNewRomanPS-BoldMT"/>
          <w:b/>
          <w:bCs/>
          <w:sz w:val="46"/>
          <w:szCs w:val="46"/>
          <w:lang w:val="sr-CS"/>
        </w:rPr>
        <w:t>4</w:t>
      </w:r>
      <w:r>
        <w:rPr>
          <w:rFonts w:cs="TimesNewRomanPS-BoldMT" w:ascii="TimesNewRomanPS-BoldMT" w:hAnsi="TimesNewRomanPS-BoldMT"/>
          <w:b/>
          <w:bCs/>
          <w:sz w:val="46"/>
          <w:szCs w:val="46"/>
        </w:rPr>
        <w:t xml:space="preserve">. </w:t>
      </w:r>
      <w:r>
        <w:rPr>
          <w:rFonts w:cs="TimesNewRomanPSMT" w:ascii="TimesNewRomanPSMT" w:hAnsi="TimesNewRomanPSMT"/>
          <w:sz w:val="46"/>
          <w:szCs w:val="46"/>
          <w:lang w:val="sr-CS"/>
        </w:rPr>
        <w:t>Планирани приходи у 202</w:t>
      </w:r>
      <w:r>
        <w:rPr>
          <w:rFonts w:cs="Times New Roman" w:ascii="Times New Roman" w:hAnsi="Times New Roman"/>
          <w:sz w:val="46"/>
          <w:szCs w:val="46"/>
          <w:lang w:val="sr-Latn-RS"/>
        </w:rPr>
        <w:t>6</w:t>
      </w:r>
      <w:r>
        <w:rPr>
          <w:rFonts w:cs="TimesNewRomanPSMT" w:ascii="TimesNewRomanPSMT" w:hAnsi="TimesNewRomanPSMT"/>
          <w:sz w:val="46"/>
          <w:szCs w:val="46"/>
          <w:lang w:val="sr-CS"/>
        </w:rPr>
        <w:t>. години</w:t>
      </w:r>
    </w:p>
    <w:p>
      <w:pPr>
        <w:pStyle w:val="Normal"/>
        <w:tabs>
          <w:tab w:val="left" w:pos="934" w:leader="none"/>
        </w:tabs>
        <w:jc w:val="both"/>
        <w:rPr>
          <w:rFonts w:cs="TimesNewRomanPSMT"/>
          <w:sz w:val="28"/>
          <w:szCs w:val="28"/>
        </w:rPr>
      </w:pPr>
      <w:r>
        <w:rPr>
          <w:rFonts w:cs="TimesNewRomanPSMT" w:ascii="TimesNewRomanPSMT" w:hAnsi="TimesNewRomanPSMT"/>
          <w:sz w:val="28"/>
          <w:szCs w:val="28"/>
          <w:lang w:val="sr-CS"/>
        </w:rPr>
        <w:t xml:space="preserve">Укупни приходи буџета Општине Владичин Хан планирани су у  висини од </w:t>
      </w:r>
      <w:r>
        <w:rPr>
          <w:rFonts w:cs="Times New Roman" w:ascii="Times New Roman" w:hAnsi="Times New Roman"/>
          <w:sz w:val="28"/>
          <w:szCs w:val="28"/>
        </w:rPr>
        <w:t>1,0</w:t>
      </w:r>
      <w:r>
        <w:rPr>
          <w:rFonts w:cs="Times New Roman" w:ascii="Times New Roman" w:hAnsi="Times New Roman"/>
          <w:sz w:val="28"/>
          <w:szCs w:val="28"/>
          <w:lang w:val="sr-RS"/>
        </w:rPr>
        <w:t>0</w:t>
      </w:r>
      <w:r>
        <w:rPr>
          <w:rFonts w:cs="Times New Roman" w:ascii="Times New Roman" w:hAnsi="Times New Roman"/>
          <w:sz w:val="28"/>
          <w:szCs w:val="28"/>
        </w:rPr>
        <w:t>1.</w:t>
      </w:r>
      <w:r>
        <w:rPr>
          <w:rFonts w:cs="Times New Roman" w:ascii="Times New Roman" w:hAnsi="Times New Roman"/>
          <w:sz w:val="28"/>
          <w:szCs w:val="28"/>
          <w:lang w:val="sr-RS"/>
        </w:rPr>
        <w:t>580</w:t>
      </w:r>
      <w:r>
        <w:rPr>
          <w:rFonts w:cs="Times New Roman" w:ascii="Times New Roman" w:hAnsi="Times New Roman"/>
          <w:sz w:val="28"/>
          <w:szCs w:val="28"/>
          <w:lang w:val="sr-CS"/>
        </w:rPr>
        <w:t>.000,00 динара</w:t>
      </w:r>
      <w:r>
        <w:rPr>
          <w:rFonts w:cs="TimesNewRomanPSMT" w:ascii="TimesNewRomanPSMT" w:hAnsi="TimesNewRomanPSMT"/>
          <w:sz w:val="28"/>
          <w:szCs w:val="28"/>
          <w:lang w:val="sr-CS"/>
        </w:rPr>
        <w:t>.</w:t>
      </w:r>
      <w:r>
        <w:rPr>
          <w:rFonts w:cs="TimesNewRomanPSMT"/>
          <w:sz w:val="28"/>
          <w:szCs w:val="28"/>
        </w:rPr>
        <w:t xml:space="preserve"> </w:t>
      </w:r>
    </w:p>
    <w:p>
      <w:pPr>
        <w:pStyle w:val="Normal"/>
        <w:tabs>
          <w:tab w:val="left" w:pos="934" w:leader="none"/>
        </w:tabs>
        <w:jc w:val="both"/>
        <w:rPr>
          <w:rFonts w:cs="TimesNewRomanPSMT"/>
          <w:sz w:val="20"/>
          <w:szCs w:val="20"/>
          <w:lang w:val="sr-Latn-RS"/>
        </w:rPr>
      </w:pPr>
      <w:r>
        <w:rPr>
          <w:rFonts w:cs="TimesNewRomanPSMT" w:ascii="TimesNewRomanPSMT" w:hAnsi="TimesNewRomanPSMT"/>
          <w:sz w:val="28"/>
          <w:szCs w:val="28"/>
          <w:lang w:val="sr-CS"/>
        </w:rPr>
        <w:t xml:space="preserve">Основне врсте прихода који се сливају у буџет Општине јесу порески приходи, трансфери, приходи од имовине, пренети приходи из претходне године и остали приходи </w:t>
      </w:r>
      <w:r>
        <w:rPr>
          <w:rFonts w:cs="TimesNewRomanPSMT" w:ascii="TimesNewRomanPSMT" w:hAnsi="TimesNewRomanPSMT"/>
          <w:sz w:val="20"/>
          <w:szCs w:val="20"/>
          <w:lang w:val="sr-CS"/>
        </w:rPr>
        <w:t>(Слика 3.)</w:t>
      </w:r>
    </w:p>
    <w:tbl>
      <w:tblPr>
        <w:tblW w:w="7420" w:type="dxa"/>
        <w:jc w:val="left"/>
        <w:tblInd w:w="83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1"/>
          <w:insideH w:val="single" w:sz="8" w:space="0" w:color="00000A"/>
          <w:insideV w:val="single" w:sz="8" w:space="0" w:color="000001"/>
        </w:tblBorders>
        <w:tblCellMar>
          <w:top w:w="0" w:type="dxa"/>
          <w:left w:w="8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107"/>
        <w:gridCol w:w="2332"/>
        <w:gridCol w:w="981"/>
      </w:tblGrid>
      <w:tr>
        <w:trPr>
          <w:trHeight w:val="315" w:hRule="atLeast"/>
        </w:trPr>
        <w:tc>
          <w:tcPr>
            <w:tcW w:w="7420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val="sr-Latn-RS" w:eastAsia="sr-Latn-RS"/>
              </w:rPr>
              <w:t>ПРИХОДИ БУЏЕТА ОПШТИНЕ У 2026. ГОДИНИ</w:t>
            </w:r>
          </w:p>
        </w:tc>
      </w:tr>
      <w:tr>
        <w:trPr>
          <w:trHeight w:val="390" w:hRule="atLeast"/>
        </w:trPr>
        <w:tc>
          <w:tcPr>
            <w:tcW w:w="410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 xml:space="preserve">Порески приходи </w:t>
            </w:r>
          </w:p>
        </w:tc>
        <w:tc>
          <w:tcPr>
            <w:tcW w:w="2332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val="sr-Latn-RS" w:eastAsia="sr-Latn-RS"/>
              </w:rPr>
              <w:t>553,174,000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55.23%</w:t>
            </w:r>
          </w:p>
        </w:tc>
      </w:tr>
      <w:tr>
        <w:trPr>
          <w:trHeight w:val="390" w:hRule="atLeast"/>
        </w:trPr>
        <w:tc>
          <w:tcPr>
            <w:tcW w:w="410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Трансфери Републике</w:t>
            </w:r>
          </w:p>
        </w:tc>
        <w:tc>
          <w:tcPr>
            <w:tcW w:w="2332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val="sr-Latn-RS" w:eastAsia="sr-Latn-RS"/>
              </w:rPr>
              <w:t>340,000,000</w:t>
            </w:r>
          </w:p>
        </w:tc>
        <w:tc>
          <w:tcPr>
            <w:tcW w:w="981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33.95%</w:t>
            </w:r>
          </w:p>
        </w:tc>
      </w:tr>
      <w:tr>
        <w:trPr>
          <w:trHeight w:val="390" w:hRule="atLeast"/>
        </w:trPr>
        <w:tc>
          <w:tcPr>
            <w:tcW w:w="410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 xml:space="preserve">Други приходи </w:t>
            </w:r>
          </w:p>
        </w:tc>
        <w:tc>
          <w:tcPr>
            <w:tcW w:w="2332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val="sr-Latn-RS" w:eastAsia="sr-Latn-RS"/>
              </w:rPr>
              <w:t>37,356,000</w:t>
            </w:r>
          </w:p>
        </w:tc>
        <w:tc>
          <w:tcPr>
            <w:tcW w:w="981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3.73%</w:t>
            </w:r>
          </w:p>
        </w:tc>
      </w:tr>
      <w:tr>
        <w:trPr>
          <w:trHeight w:val="375" w:hRule="atLeast"/>
        </w:trPr>
        <w:tc>
          <w:tcPr>
            <w:tcW w:w="410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Приходи од продаје имовине</w:t>
            </w:r>
          </w:p>
        </w:tc>
        <w:tc>
          <w:tcPr>
            <w:tcW w:w="2332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val="sr-Latn-RS" w:eastAsia="sr-Latn-RS"/>
              </w:rPr>
              <w:t>1,000,000</w:t>
            </w:r>
          </w:p>
        </w:tc>
        <w:tc>
          <w:tcPr>
            <w:tcW w:w="981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0.10%</w:t>
            </w:r>
          </w:p>
        </w:tc>
      </w:tr>
      <w:tr>
        <w:trPr>
          <w:trHeight w:val="375" w:hRule="atLeast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sr-Latn-RS" w:eastAsia="sr-Latn-RS"/>
              </w:rPr>
              <w:t>Меморандумске ставке</w:t>
            </w:r>
          </w:p>
        </w:tc>
        <w:tc>
          <w:tcPr>
            <w:tcW w:w="2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val="sr-Latn-RS" w:eastAsia="sr-Latn-RS"/>
              </w:rPr>
              <w:t>1,500,000.00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0.15%</w:t>
            </w:r>
          </w:p>
        </w:tc>
      </w:tr>
      <w:tr>
        <w:trPr>
          <w:trHeight w:val="390" w:hRule="atLeast"/>
        </w:trPr>
        <w:tc>
          <w:tcPr>
            <w:tcW w:w="41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Приходи из 2025. године</w:t>
            </w:r>
          </w:p>
        </w:tc>
        <w:tc>
          <w:tcPr>
            <w:tcW w:w="2332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  <w:lang w:val="sr-Latn-RS" w:eastAsia="sr-Latn-RS"/>
              </w:rPr>
              <w:t>68,550,000</w:t>
            </w:r>
          </w:p>
        </w:tc>
        <w:tc>
          <w:tcPr>
            <w:tcW w:w="98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6.84%</w:t>
            </w:r>
          </w:p>
        </w:tc>
      </w:tr>
      <w:tr>
        <w:trPr>
          <w:trHeight w:val="390" w:hRule="atLeast"/>
        </w:trPr>
        <w:tc>
          <w:tcPr>
            <w:tcW w:w="41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УКУПНО</w:t>
            </w:r>
          </w:p>
        </w:tc>
        <w:tc>
          <w:tcPr>
            <w:tcW w:w="2332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1,001,580,000.00</w:t>
            </w:r>
          </w:p>
        </w:tc>
        <w:tc>
          <w:tcPr>
            <w:tcW w:w="9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100.00%</w:t>
            </w:r>
          </w:p>
        </w:tc>
      </w:tr>
    </w:tbl>
    <w:p>
      <w:pPr>
        <w:pStyle w:val="Normal"/>
        <w:tabs>
          <w:tab w:val="left" w:pos="934" w:leader="none"/>
        </w:tabs>
        <w:jc w:val="both"/>
        <w:rPr>
          <w:rFonts w:cs="TimesNewRomanPSMT"/>
          <w:sz w:val="28"/>
          <w:szCs w:val="28"/>
          <w:lang w:val="sr-Latn-RS"/>
        </w:rPr>
      </w:pPr>
      <w:r>
        <w:rPr>
          <w:rFonts w:cs="TimesNewRomanPSMT"/>
          <w:sz w:val="28"/>
          <w:szCs w:val="28"/>
          <w:lang w:val="sr-Latn-RS"/>
        </w:rPr>
      </w:r>
    </w:p>
    <w:p>
      <w:pPr>
        <w:pStyle w:val="Normal"/>
        <w:tabs>
          <w:tab w:val="left" w:pos="934" w:leader="none"/>
        </w:tabs>
        <w:spacing w:lineRule="auto" w:line="240"/>
        <w:rPr>
          <w:rFonts w:cs="TimesNewRomanPSMT"/>
          <w:sz w:val="20"/>
          <w:szCs w:val="20"/>
          <w:lang w:val="sr-Latn-RS"/>
        </w:rPr>
      </w:pPr>
      <w:r>
        <w:rPr>
          <w:rFonts w:cs="TimesNewRomanPSMT" w:ascii="TimesNewRomanPSMT" w:hAnsi="TimesNewRomanPSMT"/>
          <w:sz w:val="20"/>
          <w:szCs w:val="20"/>
          <w:lang w:val="sr-CS"/>
        </w:rPr>
        <w:t>Слика 3.</w:t>
      </w:r>
    </w:p>
    <w:p>
      <w:pPr>
        <w:pStyle w:val="Normal"/>
        <w:tabs>
          <w:tab w:val="left" w:pos="934" w:leader="none"/>
        </w:tabs>
        <w:spacing w:lineRule="auto" w:line="240"/>
        <w:rPr>
          <w:rFonts w:cs="TimesNewRomanPSMT"/>
          <w:sz w:val="20"/>
          <w:szCs w:val="20"/>
          <w:lang w:val="sr-Latn-RS"/>
        </w:rPr>
      </w:pPr>
      <w:r>
        <w:rPr/>
        <w:drawing>
          <wp:inline distT="0" distB="0" distL="0" distR="0">
            <wp:extent cx="4572000" cy="3124200"/>
            <wp:effectExtent l="0" t="0" r="0" b="0"/>
            <wp:docPr id="1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pStyle w:val="Normal"/>
        <w:tabs>
          <w:tab w:val="left" w:pos="934" w:leader="none"/>
        </w:tabs>
        <w:spacing w:lineRule="auto" w:line="240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</w:r>
    </w:p>
    <w:p>
      <w:pPr>
        <w:pStyle w:val="Normal"/>
        <w:pBdr/>
        <w:spacing w:before="0" w:after="200"/>
        <w:jc w:val="center"/>
        <w:rPr>
          <w:sz w:val="0"/>
          <w:szCs w:val="0"/>
        </w:rPr>
        <w:framePr w:w="23" w:h="293" w:x="3339" w:y="4719" w:wrap="none" w:vAnchor="page" w:hAnchor="page" w:hRule="exact"/>
      </w:pPr>
      <w:r>
        <w:rPr>
          <w:sz w:val="0"/>
          <w:szCs w:val="0"/>
        </w:rPr>
      </w:r>
    </w:p>
    <w:p>
      <w:pPr>
        <w:pStyle w:val="Normal"/>
        <w:spacing w:lineRule="auto" w:line="240" w:before="0" w:after="40"/>
        <w:ind w:left="40" w:right="220" w:hanging="0"/>
        <w:jc w:val="both"/>
        <w:rPr>
          <w:rStyle w:val="BodyText1"/>
          <w:rFonts w:eastAsia="Calibri" w:eastAsiaTheme="minorHAnsi"/>
          <w:sz w:val="28"/>
          <w:szCs w:val="28"/>
        </w:rPr>
      </w:pPr>
      <w:r>
        <w:rPr>
          <w:rFonts w:eastAsia="Calibri" w:eastAsiaTheme="minorHAnsi"/>
          <w:sz w:val="28"/>
          <w:szCs w:val="28"/>
        </w:rPr>
      </w:r>
    </w:p>
    <w:p>
      <w:pPr>
        <w:pStyle w:val="Normal"/>
        <w:spacing w:lineRule="auto" w:line="240"/>
        <w:jc w:val="both"/>
        <w:rPr>
          <w:rStyle w:val="BodyText1"/>
          <w:rFonts w:eastAsia="Calibri" w:eastAsiaTheme="minorHAnsi"/>
          <w:sz w:val="28"/>
          <w:szCs w:val="28"/>
          <w:lang w:val="sr-CS"/>
        </w:rPr>
      </w:pPr>
      <w:r>
        <w:rPr>
          <w:rStyle w:val="BodyText1"/>
          <w:rFonts w:eastAsia="Calibri" w:eastAsiaTheme="minorHAnsi"/>
          <w:b/>
          <w:i/>
          <w:sz w:val="28"/>
          <w:szCs w:val="28"/>
          <w:u w:val="single"/>
          <w:lang w:val="sr-CS"/>
        </w:rPr>
        <w:t>Трансфери Републике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 xml:space="preserve"> представљају прилив новца из Републичког буџета у корист нивоа Општина и  најзначајнији су приход О</w:t>
      </w:r>
      <w:r>
        <w:rPr>
          <w:rStyle w:val="BodyText1"/>
          <w:rFonts w:eastAsia="Calibri" w:eastAsiaTheme="minorHAnsi"/>
          <w:sz w:val="28"/>
          <w:szCs w:val="28"/>
        </w:rPr>
        <w:t>пштин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е што указује на висок степен зависности Општине од политике државе. У сарадњи са ресорним министарствима Републике реализује се значајан број најпре капиталних пројеката али у исто време и пројеката из области социјалне политике, подстицаја рађања, омладинске политике, спорта и слично. Све већи удео у суфинасирању пројеката са вишим нивоима власти заузимају пројекти подизања енергетске ефикасности објеката.</w:t>
      </w:r>
    </w:p>
    <w:p>
      <w:pPr>
        <w:pStyle w:val="Normal"/>
        <w:spacing w:lineRule="auto" w:line="240"/>
        <w:jc w:val="both"/>
        <w:rPr>
          <w:rStyle w:val="BodyText1"/>
          <w:rFonts w:eastAsia="Calibri" w:eastAsiaTheme="minorHAnsi"/>
          <w:sz w:val="28"/>
          <w:szCs w:val="28"/>
        </w:rPr>
      </w:pPr>
      <w:r>
        <w:rPr>
          <w:rStyle w:val="BodyText1"/>
          <w:rFonts w:eastAsia="Calibri" w:eastAsiaTheme="minorHAnsi"/>
          <w:b/>
          <w:i/>
          <w:sz w:val="28"/>
          <w:szCs w:val="28"/>
          <w:u w:val="single"/>
          <w:lang w:val="sr-CS"/>
        </w:rPr>
        <w:t xml:space="preserve">Приходи од продаје имовине 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у 20</w:t>
      </w:r>
      <w:r>
        <w:rPr>
          <w:rStyle w:val="BodyText1"/>
          <w:rFonts w:eastAsia="Calibri" w:eastAsiaTheme="minorHAnsi"/>
          <w:sz w:val="28"/>
          <w:szCs w:val="28"/>
          <w:lang w:val="en-GB"/>
        </w:rPr>
        <w:t>2</w:t>
      </w:r>
      <w:r>
        <w:rPr>
          <w:rStyle w:val="BodyText1"/>
          <w:rFonts w:eastAsia="Calibri" w:eastAsiaTheme="minorHAnsi"/>
          <w:sz w:val="28"/>
          <w:szCs w:val="28"/>
        </w:rPr>
        <w:t>6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 xml:space="preserve">. години </w:t>
      </w:r>
      <w:r>
        <w:rPr>
          <w:rStyle w:val="BodyText1"/>
          <w:rFonts w:eastAsia="Calibri" w:eastAsiaTheme="minorHAnsi"/>
          <w:sz w:val="28"/>
          <w:szCs w:val="28"/>
          <w:lang w:val="sr-RS"/>
        </w:rPr>
        <w:t>представљају примања од продаје покретне имовине у корист нивоа оптина као и примања од продаје земљишта у корист нивоа општине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 xml:space="preserve">. </w:t>
      </w:r>
    </w:p>
    <w:p>
      <w:pPr>
        <w:pStyle w:val="Normal"/>
        <w:spacing w:lineRule="auto" w:line="240"/>
        <w:jc w:val="both"/>
        <w:rPr>
          <w:rStyle w:val="BodyText1"/>
          <w:rFonts w:eastAsia="Calibri" w:eastAsiaTheme="minorHAnsi"/>
          <w:sz w:val="28"/>
          <w:szCs w:val="28"/>
        </w:rPr>
      </w:pPr>
      <w:r>
        <w:rPr>
          <w:rFonts w:eastAsia="Calibri" w:eastAsiaTheme="minorHAnsi"/>
          <w:sz w:val="28"/>
          <w:szCs w:val="28"/>
        </w:rPr>
      </w:r>
    </w:p>
    <w:p>
      <w:pPr>
        <w:pStyle w:val="Normal"/>
        <w:tabs>
          <w:tab w:val="left" w:pos="2175" w:leader="none"/>
          <w:tab w:val="left" w:pos="4545" w:leader="none"/>
          <w:tab w:val="center" w:pos="5400" w:leader="none"/>
        </w:tabs>
        <w:jc w:val="both"/>
        <w:rPr>
          <w:rStyle w:val="BodyText1"/>
          <w:rFonts w:eastAsia="Calibri" w:eastAsiaTheme="minorHAnsi"/>
          <w:sz w:val="28"/>
          <w:szCs w:val="28"/>
        </w:rPr>
      </w:pPr>
      <w:r>
        <w:rPr>
          <w:rStyle w:val="BodyText1"/>
          <w:rFonts w:eastAsia="Calibri" w:eastAsiaTheme="minorHAnsi"/>
          <w:b/>
          <w:i/>
          <w:sz w:val="28"/>
          <w:szCs w:val="28"/>
          <w:u w:val="single"/>
          <w:lang w:val="sr-CS"/>
        </w:rPr>
        <w:t xml:space="preserve">Меморандумска ставке </w:t>
      </w:r>
      <w:r>
        <w:rPr>
          <w:rStyle w:val="BodyText1"/>
          <w:rFonts w:eastAsia="Calibri" w:eastAsiaTheme="minorHAnsi"/>
          <w:b/>
          <w:i/>
          <w:sz w:val="28"/>
          <w:szCs w:val="28"/>
          <w:u w:val="single"/>
          <w:lang w:val="sr-RS"/>
        </w:rPr>
        <w:t xml:space="preserve">за рефундацију расхода </w:t>
      </w:r>
      <w:r>
        <w:rPr>
          <w:rFonts w:cs="Times New Roman" w:ascii="Times New Roman" w:hAnsi="Times New Roman"/>
          <w:sz w:val="28"/>
          <w:szCs w:val="28"/>
          <w:lang w:val="sr-CS"/>
        </w:rPr>
        <w:t>садрже аналитичка конта на којима се књиже меморандумске ставке за рефундацију расхода из претходних година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.</w:t>
      </w:r>
    </w:p>
    <w:p>
      <w:pPr>
        <w:pStyle w:val="Normal"/>
        <w:tabs>
          <w:tab w:val="left" w:pos="2175" w:leader="none"/>
          <w:tab w:val="left" w:pos="4545" w:leader="none"/>
          <w:tab w:val="center" w:pos="5400" w:leader="none"/>
        </w:tabs>
        <w:jc w:val="both"/>
        <w:rPr>
          <w:rStyle w:val="BodyText1"/>
          <w:rFonts w:eastAsia="Calibri" w:eastAsiaTheme="minorHAnsi"/>
          <w:sz w:val="28"/>
          <w:szCs w:val="28"/>
        </w:rPr>
      </w:pPr>
      <w:r>
        <w:rPr/>
        <w:drawing>
          <wp:inline distT="0" distB="0" distL="0" distR="0">
            <wp:extent cx="4572000" cy="3619500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pStyle w:val="Normal"/>
        <w:tabs>
          <w:tab w:val="left" w:pos="2175" w:leader="none"/>
          <w:tab w:val="left" w:pos="4545" w:leader="none"/>
          <w:tab w:val="center" w:pos="5400" w:leader="none"/>
        </w:tabs>
        <w:jc w:val="both"/>
        <w:rPr>
          <w:rStyle w:val="BodyText1"/>
          <w:rFonts w:eastAsia="Calibri" w:eastAsiaTheme="minorHAnsi"/>
          <w:b/>
          <w:b/>
          <w:i/>
          <w:i/>
          <w:sz w:val="28"/>
          <w:szCs w:val="28"/>
          <w:u w:val="single"/>
        </w:rPr>
      </w:pPr>
      <w:r>
        <w:rPr>
          <w:rFonts w:eastAsia="Calibri" w:eastAsiaTheme="minorHAnsi"/>
          <w:b/>
          <w:i/>
          <w:sz w:val="28"/>
          <w:szCs w:val="28"/>
          <w:u w:val="single"/>
        </w:rPr>
      </w:r>
    </w:p>
    <w:p>
      <w:pPr>
        <w:pStyle w:val="Normal"/>
        <w:spacing w:before="0" w:after="210"/>
        <w:ind w:left="40" w:hanging="0"/>
        <w:rPr>
          <w:sz w:val="28"/>
          <w:szCs w:val="28"/>
        </w:rPr>
      </w:pPr>
      <w:r>
        <w:rPr>
          <w:rStyle w:val="BodyText1"/>
          <w:rFonts w:eastAsia="Calibri" w:eastAsiaTheme="minorHAnsi"/>
          <w:sz w:val="28"/>
          <w:szCs w:val="28"/>
        </w:rPr>
        <w:t xml:space="preserve">Фактори који су утицали на обликовање буџета 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у 20</w:t>
      </w:r>
      <w:r>
        <w:rPr>
          <w:rStyle w:val="BodyText1"/>
          <w:rFonts w:eastAsia="Calibri" w:eastAsiaTheme="minorHAnsi"/>
          <w:sz w:val="28"/>
          <w:szCs w:val="28"/>
          <w:lang w:val="en-GB"/>
        </w:rPr>
        <w:t>2</w:t>
      </w:r>
      <w:r>
        <w:rPr>
          <w:rStyle w:val="BodyText1"/>
          <w:rFonts w:eastAsia="Calibri" w:eastAsiaTheme="minorHAnsi"/>
          <w:sz w:val="28"/>
          <w:szCs w:val="28"/>
          <w:lang w:val="en-AU"/>
        </w:rPr>
        <w:t>6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 xml:space="preserve">. години </w:t>
      </w:r>
      <w:r>
        <w:rPr>
          <w:rStyle w:val="BodyText1"/>
          <w:rFonts w:eastAsia="Calibri" w:eastAsiaTheme="minorHAnsi"/>
          <w:sz w:val="28"/>
          <w:szCs w:val="28"/>
        </w:rPr>
        <w:t>су:</w:t>
      </w:r>
    </w:p>
    <w:p>
      <w:pPr>
        <w:pStyle w:val="Normal"/>
        <w:widowControl w:val="false"/>
        <w:numPr>
          <w:ilvl w:val="0"/>
          <w:numId w:val="3"/>
        </w:numPr>
        <w:tabs>
          <w:tab w:val="left" w:pos="714" w:leader="none"/>
        </w:tabs>
        <w:spacing w:before="0" w:after="41"/>
        <w:ind w:left="720" w:hanging="260"/>
        <w:rPr>
          <w:sz w:val="28"/>
          <w:szCs w:val="28"/>
        </w:rPr>
      </w:pPr>
      <w:r>
        <w:rPr>
          <w:rStyle w:val="BodyText1"/>
          <w:rFonts w:eastAsia="Calibri" w:eastAsiaTheme="minorHAnsi"/>
          <w:sz w:val="28"/>
          <w:szCs w:val="28"/>
          <w:lang w:val="sr-CS"/>
        </w:rPr>
        <w:t>Поштовање фискалних правила и пројектованих стопа раста појединих прихода од стране Министарства финансија</w:t>
      </w:r>
      <w:r>
        <w:rPr>
          <w:rStyle w:val="BodyText1"/>
          <w:rFonts w:eastAsia="Calibri" w:eastAsiaTheme="minorHAnsi"/>
          <w:sz w:val="28"/>
          <w:szCs w:val="28"/>
        </w:rPr>
        <w:t>,</w:t>
      </w:r>
    </w:p>
    <w:p>
      <w:pPr>
        <w:pStyle w:val="Normal"/>
        <w:widowControl w:val="false"/>
        <w:numPr>
          <w:ilvl w:val="0"/>
          <w:numId w:val="3"/>
        </w:numPr>
        <w:tabs>
          <w:tab w:val="left" w:pos="719" w:leader="none"/>
        </w:tabs>
        <w:spacing w:before="0" w:after="161"/>
        <w:ind w:left="720" w:hanging="260"/>
        <w:rPr>
          <w:rStyle w:val="BodyText1"/>
          <w:rFonts w:ascii="Calibri" w:hAnsi="Calibri" w:eastAsia="Calibri" w:cs="" w:asciiTheme="minorHAnsi" w:cstheme="minorBidi" w:eastAsiaTheme="minorHAnsi" w:hAnsiTheme="minorHAnsi"/>
          <w:color w:val="00000A"/>
          <w:spacing w:val="0"/>
          <w:sz w:val="28"/>
          <w:szCs w:val="28"/>
        </w:rPr>
      </w:pPr>
      <w:r>
        <w:rPr>
          <w:rStyle w:val="BodyText1"/>
          <w:rFonts w:eastAsia="Calibri" w:eastAsiaTheme="minorHAnsi"/>
          <w:sz w:val="28"/>
          <w:szCs w:val="28"/>
          <w:lang w:val="sr-CS"/>
        </w:rPr>
        <w:t xml:space="preserve"> 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 xml:space="preserve">Обезбеђивање услова за нормалан рад и функционисање свих корисника буџета Општине и </w:t>
      </w:r>
    </w:p>
    <w:p>
      <w:pPr>
        <w:pStyle w:val="Normal"/>
        <w:widowControl w:val="false"/>
        <w:numPr>
          <w:ilvl w:val="0"/>
          <w:numId w:val="3"/>
        </w:numPr>
        <w:tabs>
          <w:tab w:val="left" w:pos="719" w:leader="none"/>
        </w:tabs>
        <w:spacing w:before="0" w:after="161"/>
        <w:ind w:left="720" w:hanging="260"/>
        <w:rPr>
          <w:sz w:val="28"/>
          <w:szCs w:val="28"/>
        </w:rPr>
      </w:pPr>
      <w:r>
        <w:rPr>
          <w:rStyle w:val="BodyText1"/>
          <w:rFonts w:eastAsia="Calibri" w:eastAsiaTheme="minorHAnsi"/>
          <w:sz w:val="28"/>
          <w:szCs w:val="28"/>
          <w:lang w:val="sr-CS"/>
        </w:rPr>
        <w:t>Наставак реализације зацртаних капиталних пројеката који су квалификовани као приоритетни.</w:t>
      </w:r>
    </w:p>
    <w:p>
      <w:pPr>
        <w:pStyle w:val="Normal"/>
        <w:spacing w:before="0" w:after="374"/>
        <w:ind w:left="40" w:right="240" w:hanging="0"/>
        <w:jc w:val="both"/>
        <w:rPr>
          <w:sz w:val="28"/>
          <w:szCs w:val="28"/>
          <w:lang w:val="sr-CS"/>
        </w:rPr>
      </w:pPr>
      <w:r>
        <w:rPr>
          <w:rStyle w:val="BodyText1"/>
          <w:rFonts w:eastAsia="Calibri" w:eastAsiaTheme="minorHAnsi"/>
          <w:sz w:val="28"/>
          <w:szCs w:val="28"/>
        </w:rPr>
        <w:t xml:space="preserve">Укупни приходи општине 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Владичин Хан</w:t>
      </w:r>
      <w:r>
        <w:rPr>
          <w:rStyle w:val="BodyText1"/>
          <w:rFonts w:eastAsia="Calibri" w:eastAsiaTheme="minorHAnsi"/>
          <w:sz w:val="28"/>
          <w:szCs w:val="28"/>
        </w:rPr>
        <w:t xml:space="preserve"> у 202</w:t>
      </w:r>
      <w:r>
        <w:rPr>
          <w:rStyle w:val="BodyText1"/>
          <w:rFonts w:eastAsia="Calibri" w:eastAsiaTheme="minorHAnsi"/>
          <w:sz w:val="28"/>
          <w:szCs w:val="28"/>
          <w:lang w:val="en-AU"/>
        </w:rPr>
        <w:t>6</w:t>
      </w:r>
      <w:r>
        <w:rPr>
          <w:rStyle w:val="BodyText1"/>
          <w:rFonts w:eastAsia="Calibri" w:eastAsiaTheme="minorHAnsi"/>
          <w:sz w:val="28"/>
          <w:szCs w:val="28"/>
        </w:rPr>
        <w:t xml:space="preserve">.години </w:t>
      </w:r>
      <w:r>
        <w:rPr>
          <w:rStyle w:val="BodyText1"/>
          <w:rFonts w:eastAsia="Calibri" w:eastAsiaTheme="minorHAnsi"/>
          <w:sz w:val="28"/>
          <w:szCs w:val="28"/>
          <w:lang w:val="sr-RS"/>
        </w:rPr>
        <w:t>повећани</w:t>
      </w:r>
      <w:r>
        <w:rPr>
          <w:rStyle w:val="BodyText1"/>
          <w:rFonts w:eastAsia="Calibri" w:eastAsiaTheme="minorHAnsi"/>
          <w:sz w:val="28"/>
          <w:szCs w:val="28"/>
        </w:rPr>
        <w:t xml:space="preserve"> су за </w:t>
      </w:r>
      <w:r>
        <w:rPr>
          <w:rStyle w:val="BodyText1"/>
          <w:rFonts w:eastAsia="Calibri" w:eastAsiaTheme="minorHAnsi"/>
          <w:sz w:val="28"/>
          <w:szCs w:val="28"/>
          <w:lang w:val="sr-RS"/>
        </w:rPr>
        <w:t>69</w:t>
      </w:r>
      <w:r>
        <w:rPr>
          <w:rStyle w:val="BodyText1"/>
          <w:rFonts w:eastAsia="Calibri" w:eastAsiaTheme="minorHAnsi"/>
          <w:sz w:val="28"/>
          <w:szCs w:val="28"/>
        </w:rPr>
        <w:t>,</w:t>
      </w:r>
      <w:r>
        <w:rPr>
          <w:rStyle w:val="BodyText1"/>
          <w:rFonts w:eastAsia="Calibri" w:eastAsiaTheme="minorHAnsi"/>
          <w:sz w:val="28"/>
          <w:szCs w:val="28"/>
          <w:lang w:val="sr-RS"/>
        </w:rPr>
        <w:t>85</w:t>
      </w:r>
      <w:r>
        <w:rPr>
          <w:rStyle w:val="BodyText1"/>
          <w:rFonts w:eastAsia="Calibri" w:eastAsiaTheme="minorHAnsi"/>
          <w:sz w:val="28"/>
          <w:szCs w:val="28"/>
        </w:rPr>
        <w:t xml:space="preserve"> милиона динара у односу на 202</w:t>
      </w:r>
      <w:r>
        <w:rPr>
          <w:rStyle w:val="BodyText1"/>
          <w:rFonts w:eastAsia="Calibri" w:eastAsiaTheme="minorHAnsi"/>
          <w:sz w:val="28"/>
          <w:szCs w:val="28"/>
          <w:lang w:val="en-AU"/>
        </w:rPr>
        <w:t>5</w:t>
      </w:r>
      <w:r>
        <w:rPr>
          <w:rStyle w:val="BodyText1"/>
          <w:rFonts w:eastAsia="Calibri" w:eastAsiaTheme="minorHAnsi"/>
          <w:sz w:val="28"/>
          <w:szCs w:val="28"/>
        </w:rPr>
        <w:t>. годину,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 xml:space="preserve"> превасходно услед повећања пореза на зараде на територији Општине Владичин Хан као и повећаног учешћа Републике у суфинансирању развојних пројеката Општине Владичин Хан.</w:t>
      </w:r>
    </w:p>
    <w:p>
      <w:pPr>
        <w:pStyle w:val="Normal"/>
        <w:jc w:val="both"/>
        <w:rPr>
          <w:rStyle w:val="BodyText1"/>
          <w:rFonts w:eastAsia="Calibri" w:eastAsiaTheme="minorHAnsi"/>
          <w:sz w:val="20"/>
          <w:szCs w:val="20"/>
          <w:lang w:val="sr-CS"/>
        </w:rPr>
      </w:pPr>
      <w:r>
        <w:rPr>
          <w:rStyle w:val="BodyText1"/>
          <w:rFonts w:eastAsia="Calibri" w:eastAsiaTheme="minorHAnsi"/>
          <w:sz w:val="20"/>
          <w:szCs w:val="20"/>
          <w:lang w:val="sr-CS"/>
        </w:rPr>
        <w:t>Слика 5.</w:t>
      </w:r>
    </w:p>
    <w:p>
      <w:pPr>
        <w:pStyle w:val="Normal"/>
        <w:jc w:val="both"/>
        <w:rPr>
          <w:rStyle w:val="BodyText1"/>
          <w:rFonts w:eastAsia="Calibri" w:eastAsiaTheme="minorHAnsi"/>
          <w:sz w:val="20"/>
          <w:szCs w:val="20"/>
          <w:lang w:val="sr-CS"/>
        </w:rPr>
      </w:pPr>
      <w:r>
        <w:rPr/>
        <w:drawing>
          <wp:inline distT="0" distB="0" distL="0" distR="0">
            <wp:extent cx="5676900" cy="2933700"/>
            <wp:effectExtent l="0" t="0" r="0" b="0"/>
            <wp:docPr id="1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jc w:val="both"/>
        <w:rPr>
          <w:rStyle w:val="BodyText1"/>
          <w:rFonts w:eastAsia="Calibri" w:eastAsiaTheme="minorHAnsi"/>
          <w:sz w:val="20"/>
          <w:szCs w:val="20"/>
          <w:lang w:val="sr-CS"/>
        </w:rPr>
      </w:pPr>
      <w:r>
        <w:rPr>
          <w:rFonts w:eastAsia="Calibri" w:eastAsiaTheme="minorHAnsi"/>
          <w:sz w:val="20"/>
          <w:szCs w:val="20"/>
          <w:lang w:val="sr-CS"/>
        </w:rPr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sr-CS"/>
        </w:rPr>
      </w:pPr>
      <w:r>
        <w:rPr>
          <w:rFonts w:eastAsia="Calibri" w:eastAsiaTheme="minorHAnsi"/>
          <w:sz w:val="28"/>
          <w:szCs w:val="28"/>
          <w:lang w:val="sr-CS"/>
        </w:rPr>
      </w:r>
    </w:p>
    <w:p>
      <w:pPr>
        <w:pStyle w:val="Normal"/>
        <w:tabs>
          <w:tab w:val="left" w:pos="934" w:leader="none"/>
        </w:tabs>
        <w:rPr>
          <w:rFonts w:ascii="TimesNewRomanPSMT" w:hAnsi="TimesNewRomanPSMT" w:cs="TimesNewRomanPSMT"/>
          <w:sz w:val="46"/>
          <w:szCs w:val="46"/>
          <w:lang w:val="sr-CS"/>
        </w:rPr>
      </w:pPr>
      <w:r>
        <w:rPr>
          <w:rFonts w:cs="TimesNewRomanPSMT" w:ascii="TimesNewRomanPSMT" w:hAnsi="TimesNewRomanPSMT"/>
          <w:sz w:val="46"/>
          <w:szCs w:val="46"/>
          <w:lang w:val="sr-CS"/>
        </w:rPr>
        <w:t>5. Планирани расходи у 2026. години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w:t>Укупни расходи и издаци буџета Општине Владичин Хан у буџетској 2026. години планирани су у износу од 1,001.580,00 динара.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w:t>Најзначајније врсте расхода буџета представљене  су у приказу који следи:</w:t>
      </w:r>
    </w:p>
    <w:tbl>
      <w:tblPr>
        <w:tblW w:w="8880" w:type="dxa"/>
        <w:jc w:val="left"/>
        <w:tblInd w:w="83" w:type="dxa"/>
        <w:tblBorders>
          <w:top w:val="single" w:sz="8" w:space="0" w:color="00000A"/>
          <w:left w:val="single" w:sz="8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119"/>
        <w:gridCol w:w="3081"/>
        <w:gridCol w:w="2680"/>
      </w:tblGrid>
      <w:tr>
        <w:trPr>
          <w:trHeight w:val="315" w:hRule="atLeast"/>
        </w:trPr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расходи за запослене</w:t>
            </w:r>
          </w:p>
        </w:tc>
        <w:tc>
          <w:tcPr>
            <w:tcW w:w="3081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297,270,000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29.68%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кориш. роба и услуга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282,860,000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28.24%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отплата камата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2,850,000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0.28%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дотације и трансфери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139,815,000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13.96%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социјална заштита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13,685,000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1.37%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субвенције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61,000,000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6.09%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остали расходи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50,900,000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5.08%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средства резерве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25,800,000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2.58%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основна средства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82,900,000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8.28%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природна имовина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11,000,000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1.10%</w:t>
            </w:r>
          </w:p>
        </w:tc>
      </w:tr>
      <w:tr>
        <w:trPr>
          <w:trHeight w:val="300" w:hRule="atLeast"/>
        </w:trPr>
        <w:tc>
          <w:tcPr>
            <w:tcW w:w="3119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отплата главнице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33,500,000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8" w:space="0" w:color="00000A"/>
              <w:insideH w:val="single" w:sz="4" w:space="0" w:color="00000A"/>
              <w:insideV w:val="single" w:sz="8" w:space="0" w:color="00000A"/>
            </w:tcBorders>
            <w:shd w:color="auto" w:fill="C9F7F1" w:themeFill="accent6" w:themeFillTint="33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val="sr-Latn-RS" w:eastAsia="sr-Latn-RS"/>
              </w:rPr>
              <w:t>3.34%</w:t>
            </w:r>
          </w:p>
        </w:tc>
      </w:tr>
      <w:tr>
        <w:trPr>
          <w:trHeight w:val="315" w:hRule="atLeast"/>
        </w:trPr>
        <w:tc>
          <w:tcPr>
            <w:tcW w:w="311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val="sr-Latn-RS" w:eastAsia="sr-Latn-RS"/>
              </w:rPr>
              <w:t xml:space="preserve">УКУПНО </w:t>
            </w:r>
          </w:p>
        </w:tc>
        <w:tc>
          <w:tcPr>
            <w:tcW w:w="308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5FE7D5" w:themeFill="accent6" w:themeFillTint="99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val="sr-Latn-RS" w:eastAsia="sr-Latn-RS"/>
              </w:rPr>
              <w:t>1,001,580,000</w:t>
            </w:r>
          </w:p>
        </w:tc>
        <w:tc>
          <w:tcPr>
            <w:tcW w:w="26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5FE7D5" w:themeFill="accent6" w:themeFillTint="99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val="sr-Latn-RS" w:eastAsia="sr-Latn-RS"/>
              </w:rPr>
              <w:t>100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cs="Times New Roman" w:ascii="Times New Roman" w:hAnsi="Times New Roman"/>
          <w:sz w:val="28"/>
          <w:szCs w:val="28"/>
          <w:lang w:val="sr-Latn-RS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/>
        <w:drawing>
          <wp:inline distT="0" distB="0" distL="0" distR="0">
            <wp:extent cx="5972810" cy="3827145"/>
            <wp:effectExtent l="0" t="0" r="0" b="0"/>
            <wp:docPr id="17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jc w:val="both"/>
        <w:rPr>
          <w:rFonts w:ascii="Times New Roman" w:hAnsi="Times New Roman" w:cs="Times New Roman"/>
          <w:sz w:val="20"/>
          <w:szCs w:val="20"/>
          <w:lang w:val="sr-CS"/>
        </w:rPr>
      </w:pPr>
      <w:r>
        <w:rPr>
          <w:rFonts w:cs="Times New Roman" w:ascii="Times New Roman" w:hAnsi="Times New Roman"/>
          <w:sz w:val="20"/>
          <w:szCs w:val="20"/>
          <w:lang w:val="sr-CS"/>
        </w:rPr>
        <w:t>Слика 6. Преглед висине расхода и издатака буџета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sr-CS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</w:rPr>
        <w:t>Расходи за запослене</w:t>
      </w:r>
      <w:r>
        <w:rPr>
          <w:rStyle w:val="BodytextItalic"/>
          <w:rFonts w:eastAsia="Calibri" w:eastAsiaTheme="minorHAnsi"/>
          <w:sz w:val="28"/>
          <w:szCs w:val="28"/>
        </w:rPr>
        <w:t>,</w:t>
      </w:r>
      <w:r>
        <w:rPr>
          <w:rStyle w:val="BodyText1"/>
          <w:rFonts w:eastAsia="Calibri" w:eastAsiaTheme="minorHAnsi"/>
          <w:sz w:val="28"/>
          <w:szCs w:val="28"/>
        </w:rPr>
        <w:t xml:space="preserve"> представљају све трошкове за запослене (зарада, превоза, јубиларних награда, солидарних помоћи и слично), како у управи тако и код буџетских корисника</w:t>
      </w:r>
    </w:p>
    <w:p>
      <w:pPr>
        <w:pStyle w:val="Normal"/>
        <w:spacing w:before="0" w:after="176"/>
        <w:ind w:left="100" w:right="540" w:hanging="0"/>
        <w:jc w:val="both"/>
        <w:rPr>
          <w:rStyle w:val="BodyText1"/>
          <w:rFonts w:eastAsia="Calibri" w:eastAsiaTheme="minorHAnsi"/>
          <w:sz w:val="28"/>
          <w:szCs w:val="28"/>
          <w:lang w:val="sr-RS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</w:rPr>
        <w:t>Коришћење роба и услуга</w:t>
      </w:r>
      <w:r>
        <w:rPr>
          <w:rStyle w:val="BodyText1"/>
          <w:rFonts w:eastAsia="Calibri" w:eastAsiaTheme="minorHAnsi"/>
          <w:sz w:val="28"/>
          <w:szCs w:val="28"/>
        </w:rPr>
        <w:t xml:space="preserve"> обухвата сталне трошкове, путне трошкове, услуге по уговору, специјализоване услуге, трошкове материјала, текуће поправке и одржавање.</w:t>
      </w:r>
    </w:p>
    <w:p>
      <w:pPr>
        <w:pStyle w:val="Normal"/>
        <w:spacing w:before="0" w:after="176"/>
        <w:ind w:left="100" w:right="540" w:hanging="0"/>
        <w:jc w:val="both"/>
        <w:rPr>
          <w:sz w:val="28"/>
          <w:szCs w:val="28"/>
          <w:lang w:val="sr-RS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  <w:lang w:val="sr-RS"/>
        </w:rPr>
        <w:t xml:space="preserve">Отплата камате </w:t>
      </w:r>
      <w:r>
        <w:rPr>
          <w:rStyle w:val="BodytextItalic"/>
          <w:rFonts w:eastAsia="Calibri" w:eastAsiaTheme="minorHAnsi"/>
          <w:i w:val="false"/>
          <w:sz w:val="28"/>
          <w:szCs w:val="28"/>
          <w:lang w:val="sr-RS"/>
        </w:rPr>
        <w:t>представља периодично плаћања износа обрачунатог на преостали дуг по уговоренојј каматној стопи током трајања отплате кредита.</w:t>
      </w:r>
    </w:p>
    <w:p>
      <w:pPr>
        <w:pStyle w:val="Normal"/>
        <w:ind w:left="100" w:right="540" w:hanging="0"/>
        <w:jc w:val="both"/>
        <w:rPr>
          <w:sz w:val="28"/>
          <w:szCs w:val="28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</w:rPr>
        <w:t>Дотације и трансфери</w:t>
      </w:r>
      <w:r>
        <w:rPr>
          <w:rStyle w:val="BodyText1"/>
          <w:rFonts w:eastAsia="Calibri" w:eastAsiaTheme="minorHAnsi"/>
          <w:sz w:val="28"/>
          <w:szCs w:val="28"/>
        </w:rPr>
        <w:t xml:space="preserve"> су трошкови које општина има у погледу преноса средстава основном, средњем образовању, центру за социјални рад и дому здравља.</w:t>
      </w:r>
    </w:p>
    <w:p>
      <w:pPr>
        <w:pStyle w:val="Normal"/>
        <w:spacing w:before="0" w:after="0"/>
        <w:ind w:left="100" w:right="860" w:hanging="0"/>
        <w:jc w:val="both"/>
        <w:rPr>
          <w:rStyle w:val="BodyText1"/>
          <w:rFonts w:eastAsia="Calibri" w:eastAsiaTheme="minorHAnsi"/>
          <w:sz w:val="28"/>
          <w:szCs w:val="28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</w:rPr>
        <w:t>Социјална заштита</w:t>
      </w:r>
      <w:r>
        <w:rPr>
          <w:rStyle w:val="BodyText1"/>
          <w:rFonts w:eastAsia="Calibri" w:eastAsiaTheme="minorHAnsi"/>
          <w:sz w:val="28"/>
          <w:szCs w:val="28"/>
        </w:rPr>
        <w:t xml:space="preserve"> обухвата све трошкове исплате социјалне помоћи за различите категорије становништва и у циљу подстицања наталитета, бриге о старима, једнократних помоћи, бриге о особама са инвалидитетом, бриге о деци и породицама са децом и друго.</w:t>
      </w:r>
    </w:p>
    <w:p>
      <w:pPr>
        <w:pStyle w:val="Normal"/>
        <w:spacing w:before="0" w:after="0"/>
        <w:ind w:left="100" w:right="860" w:hanging="0"/>
        <w:jc w:val="both"/>
        <w:rPr>
          <w:rStyle w:val="BodyText1"/>
          <w:rFonts w:eastAsia="Calibri" w:eastAsiaTheme="minorHAnsi"/>
          <w:sz w:val="28"/>
          <w:szCs w:val="28"/>
          <w:lang w:val="sr-RS"/>
        </w:rPr>
      </w:pPr>
      <w:r>
        <w:rPr>
          <w:rFonts w:eastAsia="Calibri" w:eastAsiaTheme="minorHAnsi"/>
          <w:sz w:val="28"/>
          <w:szCs w:val="28"/>
          <w:lang w:val="sr-RS"/>
        </w:rPr>
      </w:r>
    </w:p>
    <w:p>
      <w:pPr>
        <w:pStyle w:val="Normal"/>
        <w:spacing w:before="0" w:after="0"/>
        <w:ind w:left="100" w:right="860" w:hanging="0"/>
        <w:jc w:val="both"/>
        <w:rPr>
          <w:rStyle w:val="BodyText1"/>
          <w:rFonts w:eastAsia="Calibri" w:eastAsiaTheme="minorHAnsi"/>
          <w:sz w:val="28"/>
          <w:szCs w:val="28"/>
          <w:lang w:val="sr-RS"/>
        </w:rPr>
      </w:pPr>
      <w:r>
        <w:rPr>
          <w:rFonts w:eastAsia="Calibri" w:eastAsiaTheme="minorHAnsi"/>
          <w:sz w:val="28"/>
          <w:szCs w:val="28"/>
          <w:lang w:val="sr-RS"/>
        </w:rPr>
      </w:r>
    </w:p>
    <w:p>
      <w:pPr>
        <w:pStyle w:val="Normal"/>
        <w:spacing w:before="0" w:after="0"/>
        <w:ind w:left="100" w:right="860" w:hanging="0"/>
        <w:jc w:val="both"/>
        <w:rPr>
          <w:sz w:val="28"/>
          <w:szCs w:val="28"/>
          <w:lang w:val="sr-CS"/>
        </w:rPr>
      </w:pPr>
      <w:r>
        <w:rPr>
          <w:sz w:val="28"/>
          <w:szCs w:val="28"/>
          <w:lang w:val="sr-CS"/>
        </w:rPr>
      </w:r>
    </w:p>
    <w:p>
      <w:pPr>
        <w:pStyle w:val="Normal"/>
        <w:rPr>
          <w:rStyle w:val="BodyText1"/>
          <w:rFonts w:eastAsia="Calibri" w:eastAsiaTheme="minorHAnsi"/>
          <w:sz w:val="28"/>
          <w:szCs w:val="28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</w:rPr>
        <w:t>Субвенције из буџета</w:t>
      </w:r>
      <w:r>
        <w:rPr>
          <w:rStyle w:val="BodyText1"/>
          <w:rFonts w:eastAsia="Calibri" w:eastAsiaTheme="minorHAnsi"/>
          <w:sz w:val="28"/>
          <w:szCs w:val="28"/>
        </w:rPr>
        <w:t xml:space="preserve"> су планиране у укупном износу од  </w:t>
      </w:r>
      <w:r>
        <w:rPr>
          <w:rStyle w:val="BodyText1"/>
          <w:rFonts w:eastAsia="Calibri" w:eastAsiaTheme="minorHAnsi"/>
          <w:sz w:val="28"/>
          <w:szCs w:val="28"/>
          <w:lang w:val="sr-Latn-RS"/>
        </w:rPr>
        <w:t>61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.000</w:t>
      </w:r>
      <w:r>
        <w:rPr>
          <w:rStyle w:val="BodyText1"/>
          <w:rFonts w:eastAsia="Calibri" w:eastAsiaTheme="minorHAnsi"/>
          <w:sz w:val="28"/>
          <w:szCs w:val="28"/>
        </w:rPr>
        <w:t>.000</w:t>
        <w:br/>
        <w:t>динара  за подстицаје у области енергетске ефикасности,  запошљавања,  информисања и водоснабдевања.</w:t>
      </w:r>
    </w:p>
    <w:p>
      <w:pPr>
        <w:pStyle w:val="Normal"/>
        <w:rPr>
          <w:rStyle w:val="BodyText1"/>
          <w:rFonts w:eastAsia="Calibri" w:eastAsiaTheme="minorHAnsi"/>
          <w:b/>
          <w:b/>
          <w:sz w:val="18"/>
          <w:szCs w:val="18"/>
          <w:lang w:val="sr-CS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501650</wp:posOffset>
                </wp:positionH>
                <wp:positionV relativeFrom="paragraph">
                  <wp:posOffset>173355</wp:posOffset>
                </wp:positionV>
                <wp:extent cx="1973580" cy="1000125"/>
                <wp:effectExtent l="0" t="0" r="17145" b="17145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800" cy="999360"/>
                        </a:xfrm>
                        <a:prstGeom prst="rect">
                          <a:avLst/>
                        </a:prstGeom>
                        <a:solidFill>
                          <a:srgbClr val="feb80a"/>
                        </a:solidFill>
                        <a:ln w="38160">
                          <a:solidFill>
                            <a:srgbClr val="14356a"/>
                          </a:solidFill>
                          <a:round/>
                        </a:ln>
                        <a:effectLst>
                          <a:outerShdw dir="2700000" dist="24130">
                            <a:srgbClr val="825c00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Информисање 4,500.000,00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eb80a" stroked="t" style="position:absolute;margin-left:39.5pt;margin-top:13.65pt;width:155.3pt;height:78.65pt">
                <w10:wrap type="square"/>
                <v:fill type="solid" color2="#0147f5" o:detectmouseclick="t"/>
                <v:stroke color="#14356a" weight="38160" joinstyle="round" endcap="flat"/>
                <v:shadow on="t" obscured="f" color="#825c00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Информисање 4,500.000,00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4060825</wp:posOffset>
                </wp:positionH>
                <wp:positionV relativeFrom="paragraph">
                  <wp:posOffset>637540</wp:posOffset>
                </wp:positionV>
                <wp:extent cx="1779905" cy="742315"/>
                <wp:effectExtent l="0" t="0" r="17145" b="17145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120" cy="741600"/>
                        </a:xfrm>
                        <a:prstGeom prst="rect">
                          <a:avLst/>
                        </a:prstGeom>
                        <a:solidFill>
                          <a:srgbClr val="f49f4a"/>
                        </a:solidFill>
                        <a:ln w="12600">
                          <a:solidFill>
                            <a:srgbClr val="138576"/>
                          </a:solidFill>
                          <a:round/>
                        </a:ln>
                        <a:effectLst>
                          <a:outerShdw dir="2700000" dist="24130">
                            <a:srgbClr val="2c3e70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 xml:space="preserve">Водоснабдевање </w:t>
                            </w:r>
                            <w:r>
                              <w:rPr>
                                <w:color w:val="auto"/>
                                <w:lang w:val="sr-Latn-RS"/>
                              </w:rPr>
                              <w:t>21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>,000.000,00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49f4a" stroked="t" style="position:absolute;margin-left:319.75pt;margin-top:50.2pt;width:140.05pt;height:58.35pt">
                <w10:wrap type="square"/>
                <v:fill type="solid" color2="#0b60b5" o:detectmouseclick="t"/>
                <v:stroke color="#138576" weight="12600" joinstyle="round" endcap="flat"/>
                <v:shadow on="t" obscured="f" color="#2c3e70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 xml:space="preserve">Водоснабдевање </w:t>
                      </w:r>
                      <w:r>
                        <w:rPr>
                          <w:color w:val="auto"/>
                          <w:lang w:val="sr-Latn-RS"/>
                        </w:rPr>
                        <w:t>21</w:t>
                      </w:r>
                      <w:r>
                        <w:rPr>
                          <w:color w:val="auto"/>
                          <w:lang w:val="sr-CS"/>
                        </w:rPr>
                        <w:t>,000.000,00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3484245</wp:posOffset>
                </wp:positionH>
                <wp:positionV relativeFrom="paragraph">
                  <wp:posOffset>2736215</wp:posOffset>
                </wp:positionV>
                <wp:extent cx="2455545" cy="1005840"/>
                <wp:effectExtent l="0" t="0" r="17145" b="17145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840" cy="10051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5000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ea226"/>
                          </a:solidFill>
                          <a:round/>
                        </a:ln>
                        <a:effectLst>
                          <a:outerShdw dir="2700000" dist="24130">
                            <a:srgbClr val="3e6b19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pBdr>
                                <w:bottom w:val="single" w:sz="4" w:space="0" w:color="00000A"/>
                              </w:pBdr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Подстицаји у области енергетске ефикасности 34,000.000,00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yellow" stroked="t" style="position:absolute;margin-left:274.35pt;margin-top:215.45pt;width:193.25pt;height:79.1pt">
                <w10:wrap type="square"/>
                <v:fill color2="#ffc000" o:detectmouseclick="t"/>
                <v:stroke color="#5ea226" weight="12600" joinstyle="round" endcap="flat"/>
                <v:shadow on="t" obscured="f" color="#3e6b19"/>
                <v:textbox>
                  <w:txbxContent>
                    <w:p>
                      <w:pPr>
                        <w:pStyle w:val="FrameContents"/>
                        <w:pBdr>
                          <w:bottom w:val="single" w:sz="4" w:space="0" w:color="00000A"/>
                        </w:pBdr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Подстицаји у области енергетске ефикасности 34,000.000,00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column">
                  <wp:posOffset>2075180</wp:posOffset>
                </wp:positionH>
                <wp:positionV relativeFrom="paragraph">
                  <wp:posOffset>1131570</wp:posOffset>
                </wp:positionV>
                <wp:extent cx="512445" cy="83820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20" cy="831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163.4pt;margin-top:89.1pt;width:40.25pt;height:6.5pt" type="shapetype_32">
                <w10:wrap type="none"/>
                <v:fill on="false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column">
                  <wp:posOffset>3910965</wp:posOffset>
                </wp:positionH>
                <wp:positionV relativeFrom="paragraph">
                  <wp:posOffset>1327785</wp:posOffset>
                </wp:positionV>
                <wp:extent cx="528955" cy="31432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8480" cy="3135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07.95pt;margin-top:104.55pt;width:41.55pt;height:24.65pt;flip:y" type="shapetype_32">
                <w10:wrap type="none"/>
                <v:fill on="false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15">
                <wp:simplePos x="0" y="0"/>
                <wp:positionH relativeFrom="column">
                  <wp:posOffset>3426460</wp:posOffset>
                </wp:positionH>
                <wp:positionV relativeFrom="paragraph">
                  <wp:posOffset>2285365</wp:posOffset>
                </wp:positionV>
                <wp:extent cx="734695" cy="544830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40" cy="544320"/>
                        </a:xfrm>
                        <a:prstGeom prst="arc">
                          <a:avLst>
                            <a:gd name="adj1" fmla="val 17694720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arc id="shape_0" stroked="t" style="position:absolute;margin-left:269.8pt;margin-top:179.95pt;width:57.75pt;height:42.8pt">
                <w10:wrap type="none"/>
                <v:fill on="false" o:detectmouseclick="t"/>
                <v:stroke color="black" joinstyle="round" endcap="flat"/>
              </v:arc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5">
                <wp:simplePos x="0" y="0"/>
                <wp:positionH relativeFrom="column">
                  <wp:posOffset>1884045</wp:posOffset>
                </wp:positionH>
                <wp:positionV relativeFrom="paragraph">
                  <wp:posOffset>2219960</wp:posOffset>
                </wp:positionV>
                <wp:extent cx="389255" cy="45148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8800" cy="450720"/>
                        </a:xfrm>
                        <a:prstGeom prst="straightConnector1">
                          <a:avLst/>
                        </a:prstGeom>
                        <a:noFill/>
                        <a:ln w="12600">
                          <a:solidFill>
                            <a:srgbClr val="ba8b4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148.35pt;margin-top:174.8pt;width:30.55pt;height:35.45pt;flip:y" type="shapetype_32">
                <w10:wrap type="none"/>
                <v:fill on="false" o:detectmouseclick="t"/>
                <v:stroke color="#ba8b46" weight="12600" joinstyle="round" endcap="flat"/>
              </v:shape>
            </w:pict>
          </mc:Fallback>
        </mc:AlternateContent>
      </w:r>
      <w:r>
        <w:rPr>
          <w:rStyle w:val="BodyText1"/>
          <w:rFonts w:eastAsia="Calibri" w:eastAsiaTheme="minorHAnsi"/>
          <w:b/>
          <w:sz w:val="18"/>
          <w:szCs w:val="18"/>
          <w:lang w:val="sr-CS"/>
        </w:rPr>
        <w:t>Слика 7.</w:t>
      </w:r>
    </w:p>
    <w:p>
      <w:pPr>
        <w:pStyle w:val="Normal"/>
        <w:rPr>
          <w:rStyle w:val="BodyText1"/>
          <w:rFonts w:eastAsia="Calibri" w:eastAsiaTheme="minorHAnsi"/>
          <w:b/>
          <w:b/>
          <w:sz w:val="18"/>
          <w:szCs w:val="18"/>
          <w:lang w:val="sr-CS"/>
        </w:rPr>
      </w:pPr>
      <w:r>
        <w:rPr>
          <w:rFonts w:eastAsia="Calibri" w:eastAsiaTheme="minorHAnsi"/>
          <w:b/>
          <w:sz w:val="18"/>
          <w:szCs w:val="18"/>
          <w:lang w:val="sr-CS"/>
        </w:rPr>
      </w:r>
    </w:p>
    <w:p>
      <w:pPr>
        <w:pStyle w:val="Normal"/>
        <w:rPr>
          <w:rStyle w:val="BodyText1"/>
          <w:rFonts w:eastAsia="Calibri" w:eastAsiaTheme="minorHAnsi"/>
          <w:b/>
          <w:b/>
          <w:sz w:val="18"/>
          <w:szCs w:val="18"/>
          <w:lang w:val="sr-CS"/>
        </w:rPr>
      </w:pPr>
      <w:r>
        <w:rPr>
          <w:rFonts w:eastAsia="Calibri" w:eastAsiaTheme="minorHAnsi"/>
          <w:b/>
          <w:sz w:val="18"/>
          <w:szCs w:val="18"/>
          <w:lang w:val="sr-CS"/>
        </w:rPr>
      </w:r>
    </w:p>
    <w:p>
      <w:pPr>
        <w:pStyle w:val="Normal"/>
        <w:rPr>
          <w:rStyle w:val="BodyText1"/>
          <w:rFonts w:eastAsia="Calibri" w:eastAsiaTheme="minorHAnsi"/>
          <w:b/>
          <w:b/>
          <w:sz w:val="28"/>
          <w:szCs w:val="28"/>
        </w:rPr>
      </w:pPr>
      <w:r>
        <w:rPr>
          <w:rFonts w:eastAsia="Calibri" w:eastAsiaTheme="minorHAnsi"/>
          <w:b/>
          <w:sz w:val="28"/>
          <w:szCs w:val="28"/>
        </w:rPr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1885315</wp:posOffset>
                </wp:positionH>
                <wp:positionV relativeFrom="paragraph">
                  <wp:posOffset>717550</wp:posOffset>
                </wp:positionV>
                <wp:extent cx="2109470" cy="1005840"/>
                <wp:effectExtent l="0" t="0" r="22225" b="22225"/>
                <wp:wrapNone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880" cy="1005120"/>
                        </a:xfrm>
                        <a:prstGeom prst="rect">
                          <a:avLst/>
                        </a:prstGeom>
                        <a:solidFill>
                          <a:srgbClr val="ea157a"/>
                        </a:solidFill>
                        <a:ln w="127080">
                          <a:solidFill>
                            <a:srgbClr val="af0f5a"/>
                          </a:solidFill>
                          <a:round/>
                        </a:ln>
                        <a:effectLst>
                          <a:outerShdw dir="2700000" dist="31115">
                            <a:srgbClr val="868686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  <w:lang w:val="sr-CS"/>
                              </w:rPr>
                              <w:t xml:space="preserve">СУБВЕНЦИЈЕ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  <w:lang w:val="sr-Latn-RS"/>
                              </w:rPr>
                              <w:t>61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  <w:lang w:val="sr-CS"/>
                              </w:rPr>
                              <w:t>,000.000,00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a157a" stroked="t" style="position:absolute;margin-left:148.45pt;margin-top:56.5pt;width:166pt;height:79.1pt">
                <w10:wrap type="square"/>
                <v:fill type="solid" color2="#15ea85" o:detectmouseclick="t"/>
                <v:stroke color="#af0f5a" weight="127080" joinstyle="round" endcap="flat"/>
                <v:shadow on="t" obscured="f" color="#868686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  <w:lang w:val="sr-CS"/>
                        </w:rPr>
                        <w:t xml:space="preserve">СУБВЕНЦИЈЕ </w:t>
                      </w:r>
                      <w:r>
                        <w:rPr>
                          <w:color w:val="auto"/>
                          <w:sz w:val="28"/>
                          <w:szCs w:val="28"/>
                          <w:lang w:val="sr-Latn-RS"/>
                        </w:rPr>
                        <w:t>61</w:t>
                      </w:r>
                      <w:r>
                        <w:rPr>
                          <w:color w:val="auto"/>
                          <w:sz w:val="28"/>
                          <w:szCs w:val="28"/>
                          <w:lang w:val="sr-CS"/>
                        </w:rPr>
                        <w:t>,000.000,00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-74930</wp:posOffset>
                </wp:positionH>
                <wp:positionV relativeFrom="paragraph">
                  <wp:posOffset>1837055</wp:posOffset>
                </wp:positionV>
                <wp:extent cx="2207895" cy="964565"/>
                <wp:effectExtent l="0" t="0" r="17145" b="17145"/>
                <wp:wrapNone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60" cy="964080"/>
                        </a:xfrm>
                        <a:prstGeom prst="rect">
                          <a:avLst/>
                        </a:prstGeom>
                        <a:solidFill>
                          <a:srgbClr val="00addc"/>
                        </a:solidFill>
                        <a:ln w="38160">
                          <a:solidFill>
                            <a:srgbClr val="5a5b66"/>
                          </a:solidFill>
                          <a:round/>
                        </a:ln>
                        <a:effectLst>
                          <a:outerShdw dir="2700000" dist="24130">
                            <a:srgbClr val="00556d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Подстицаји запошљавању у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  <w:lang w:val="sr-CS"/>
                              </w:rPr>
                              <w:t>приватном сектору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 xml:space="preserve">  </w:t>
                            </w:r>
                            <w:r>
                              <w:rPr>
                                <w:color w:val="auto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>,500.000,00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00addc" stroked="t" style="position:absolute;margin-left:-5.9pt;margin-top:144.65pt;width:173.75pt;height:75.85pt">
                <w10:wrap type="square"/>
                <v:fill type="solid" color2="#ff5223" o:detectmouseclick="t"/>
                <v:stroke color="#5a5b66" weight="38160" joinstyle="round" endcap="flat"/>
                <v:shadow on="t" obscured="f" color="#00556d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Подстицаји запошљавању у </w:t>
                      </w:r>
                      <w:r>
                        <w:rPr>
                          <w:color w:val="auto"/>
                          <w:sz w:val="20"/>
                          <w:szCs w:val="20"/>
                          <w:lang w:val="sr-CS"/>
                        </w:rPr>
                        <w:t>приватном сектору</w:t>
                      </w:r>
                      <w:r>
                        <w:rPr>
                          <w:color w:val="auto"/>
                          <w:lang w:val="sr-CS"/>
                        </w:rPr>
                        <w:t xml:space="preserve">  </w:t>
                      </w:r>
                      <w:r>
                        <w:rPr>
                          <w:color w:val="auto"/>
                          <w:lang w:val="sr-Latn-RS"/>
                        </w:rPr>
                        <w:t>1</w:t>
                      </w:r>
                      <w:r>
                        <w:rPr>
                          <w:color w:val="auto"/>
                          <w:lang w:val="sr-CS"/>
                        </w:rPr>
                        <w:t>,500.000,00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sr-CS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</w:rPr>
        <w:t xml:space="preserve">Остали расходи  </w:t>
      </w:r>
      <w:r>
        <w:rPr>
          <w:rStyle w:val="BodyText1"/>
          <w:rFonts w:eastAsia="Calibri" w:eastAsiaTheme="minorHAnsi"/>
          <w:sz w:val="28"/>
          <w:szCs w:val="28"/>
        </w:rPr>
        <w:t xml:space="preserve">обухватају дотације невладиним организацијама и трошкове пореза, такси, новчаних казни, пенала и надокнада штете 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нанете од стране државних органа</w:t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sr-Latn-RS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</w:rPr>
        <w:t xml:space="preserve">Средства  резерве  </w:t>
      </w:r>
      <w:r>
        <w:rPr>
          <w:rStyle w:val="BodyText1"/>
          <w:rFonts w:eastAsia="Calibri" w:eastAsiaTheme="minorHAnsi"/>
          <w:sz w:val="28"/>
          <w:szCs w:val="28"/>
        </w:rPr>
        <w:t>представљају новац које се користи за непланиране сврхе и у сврхе за које се у току године покаже да су неопходна додатна новчана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 xml:space="preserve"> средства као и за санирање последица елементарних непогода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Style w:val="BodyText1"/>
          <w:rFonts w:eastAsia="Calibri" w:eastAsiaTheme="minorHAnsi"/>
          <w:b/>
          <w:i/>
          <w:sz w:val="28"/>
          <w:szCs w:val="28"/>
          <w:u w:val="single"/>
          <w:lang w:val="sr-RS"/>
        </w:rPr>
        <w:t xml:space="preserve">Отплата главнице </w:t>
      </w:r>
      <w:r>
        <w:rPr>
          <w:rFonts w:ascii="Times New Roman" w:hAnsi="Times New Roman"/>
          <w:sz w:val="28"/>
          <w:szCs w:val="28"/>
          <w:lang w:val="sr-RS"/>
        </w:rPr>
        <w:t>к</w:t>
      </w:r>
      <w:r>
        <w:rPr>
          <w:rFonts w:ascii="Times New Roman" w:hAnsi="Times New Roman"/>
          <w:sz w:val="28"/>
          <w:szCs w:val="28"/>
        </w:rPr>
        <w:t>редит</w:t>
      </w:r>
      <w:r>
        <w:rPr>
          <w:rFonts w:ascii="Times New Roman" w:hAnsi="Times New Roman"/>
          <w:sz w:val="28"/>
          <w:szCs w:val="28"/>
          <w:lang w:val="sr-CS"/>
        </w:rPr>
        <w:t xml:space="preserve"> који је Општина Владичин Хан, по претходно добијеној сагласности Министарства финансија Републике Србије, подигла у 2024. години представља развојни финансијски аранжман и може се користити искључиво за пројекта које је одобрило Министарство финансија</w:t>
      </w:r>
      <w:r>
        <w:rPr>
          <w:rFonts w:ascii="Times New Roman" w:hAnsi="Times New Roman"/>
          <w:sz w:val="28"/>
          <w:szCs w:val="28"/>
          <w:lang w:val="en-AU"/>
        </w:rPr>
        <w:t>,</w:t>
      </w:r>
      <w:r>
        <w:rPr>
          <w:rFonts w:ascii="Times New Roman" w:hAnsi="Times New Roman"/>
          <w:sz w:val="28"/>
          <w:szCs w:val="28"/>
          <w:lang w:val="sr-CS"/>
        </w:rPr>
        <w:t xml:space="preserve"> а који су предложени од стране Општине . Кредит је подигнут 02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sr-CS"/>
        </w:rPr>
        <w:t>08.2024. године на период од 3 година  у износу од 100</w:t>
      </w:r>
      <w:r>
        <w:rPr>
          <w:rFonts w:ascii="Times New Roman" w:hAnsi="Times New Roman"/>
          <w:sz w:val="28"/>
          <w:szCs w:val="28"/>
          <w:lang w:val="en-AU"/>
        </w:rPr>
        <w:t>.</w:t>
      </w:r>
      <w:r>
        <w:rPr>
          <w:rFonts w:ascii="Times New Roman" w:hAnsi="Times New Roman"/>
          <w:sz w:val="28"/>
          <w:szCs w:val="28"/>
          <w:lang w:val="sr-CS"/>
        </w:rPr>
        <w:t>260.966</w:t>
      </w:r>
      <w:r>
        <w:rPr>
          <w:rFonts w:ascii="Times New Roman" w:hAnsi="Times New Roman"/>
          <w:sz w:val="28"/>
          <w:szCs w:val="28"/>
          <w:lang w:val="en-AU"/>
        </w:rPr>
        <w:t>,00</w:t>
      </w:r>
      <w:r>
        <w:rPr>
          <w:rFonts w:ascii="Times New Roman" w:hAnsi="Times New Roman"/>
          <w:sz w:val="28"/>
          <w:szCs w:val="28"/>
          <w:lang w:val="sr-CS"/>
        </w:rPr>
        <w:t xml:space="preserve"> динара од чега првих 5 месеци има третман грејс периода што значи да је током 2024. године сервисирана само каматна обавеза. Са отплатом главнице дуга се поч</w:t>
      </w:r>
      <w:r>
        <w:rPr>
          <w:rFonts w:ascii="Times New Roman" w:hAnsi="Times New Roman"/>
          <w:sz w:val="28"/>
          <w:szCs w:val="28"/>
          <w:lang w:val="sr-RS"/>
        </w:rPr>
        <w:t>ело</w:t>
      </w:r>
      <w:r>
        <w:rPr>
          <w:rFonts w:ascii="Times New Roman" w:hAnsi="Times New Roman"/>
          <w:sz w:val="28"/>
          <w:szCs w:val="28"/>
          <w:lang w:val="sr-CS"/>
        </w:rPr>
        <w:t xml:space="preserve">  јануара 2025. године па закључно са децембром 2027. године. </w:t>
      </w:r>
      <w:r>
        <w:rPr>
          <w:rFonts w:ascii="Times New Roman" w:hAnsi="Times New Roman"/>
          <w:sz w:val="28"/>
          <w:szCs w:val="28"/>
        </w:rPr>
        <w:t>Исплата се завршава са 31.</w:t>
      </w:r>
      <w:r>
        <w:rPr>
          <w:rFonts w:ascii="Times New Roman" w:hAnsi="Times New Roman"/>
          <w:sz w:val="28"/>
          <w:szCs w:val="28"/>
          <w:lang w:val="sr-CS"/>
        </w:rPr>
        <w:t>12.</w:t>
      </w:r>
      <w:r>
        <w:rPr>
          <w:rFonts w:ascii="Times New Roman" w:hAnsi="Times New Roman"/>
          <w:sz w:val="28"/>
          <w:szCs w:val="28"/>
        </w:rPr>
        <w:t>2027. године.</w:t>
      </w:r>
      <w:r>
        <w:rPr>
          <w:rFonts w:ascii="Times New Roman" w:hAnsi="Times New Roman"/>
          <w:sz w:val="24"/>
          <w:szCs w:val="24"/>
          <w:lang w:val="sr-CS"/>
        </w:rPr>
        <w:t xml:space="preserve"> </w:t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en-AU"/>
        </w:rPr>
      </w:pPr>
      <w:r>
        <w:rPr>
          <w:rFonts w:eastAsia="Calibri" w:eastAsiaTheme="minorHAnsi"/>
          <w:sz w:val="28"/>
          <w:szCs w:val="28"/>
          <w:lang w:val="en-AU"/>
        </w:rPr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sr-CS"/>
        </w:rPr>
      </w:pPr>
      <w:r>
        <w:rPr>
          <w:rStyle w:val="BodytextItalic"/>
          <w:rFonts w:eastAsia="Calibri" w:eastAsiaTheme="minorHAnsi"/>
          <w:b/>
          <w:sz w:val="28"/>
          <w:szCs w:val="28"/>
          <w:u w:val="single"/>
        </w:rPr>
        <w:t>Капитални расходи</w:t>
      </w:r>
      <w:r>
        <w:rPr>
          <w:rStyle w:val="BodyText1"/>
          <w:rFonts w:eastAsia="Calibri" w:eastAsiaTheme="minorHAnsi"/>
          <w:sz w:val="28"/>
          <w:szCs w:val="28"/>
        </w:rPr>
        <w:t xml:space="preserve"> су трошкови за основна средства (зграде и грађевинске објекте, машине и опрему, земљиште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, инфраструктурно опремање објеката и земљишта, капитално одржавање и изградњу путева, капитално одржавање и изградњу водоводне и канализационе мреже, израду пројектно техничке документације за инфраструктурне пројекте и слично).</w:t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sr-CS"/>
        </w:rPr>
      </w:pPr>
      <w:r>
        <w:rPr>
          <w:rFonts w:eastAsia="Calibri" w:eastAsiaTheme="minorHAnsi"/>
          <w:sz w:val="28"/>
          <w:szCs w:val="28"/>
          <w:lang w:val="sr-CS"/>
        </w:rPr>
      </w:r>
    </w:p>
    <w:p>
      <w:pPr>
        <w:pStyle w:val="Normal"/>
        <w:spacing w:before="0" w:after="0"/>
        <w:rPr>
          <w:rStyle w:val="BodyText1"/>
          <w:rFonts w:eastAsia="Calibri" w:eastAsiaTheme="minorHAnsi"/>
          <w:sz w:val="22"/>
          <w:szCs w:val="22"/>
          <w:lang w:val="sr-Latn-RS"/>
        </w:rPr>
      </w:pPr>
      <w:r>
        <w:rPr>
          <w:rStyle w:val="BodyText1"/>
          <w:rFonts w:eastAsia="Calibri" w:eastAsiaTheme="minorHAnsi"/>
          <w:sz w:val="22"/>
          <w:szCs w:val="22"/>
          <w:lang w:val="sr-CS"/>
        </w:rPr>
        <w:t>Слика</w:t>
      </w:r>
      <w:r>
        <w:rPr>
          <w:rStyle w:val="BodyText1"/>
          <w:rFonts w:eastAsia="Calibri" w:eastAsiaTheme="minorHAnsi"/>
          <w:sz w:val="22"/>
          <w:szCs w:val="22"/>
          <w:lang w:val="sr-Latn-RS"/>
        </w:rPr>
        <w:t xml:space="preserve"> </w:t>
      </w:r>
      <w:r>
        <w:rPr>
          <w:rStyle w:val="BodyText1"/>
          <w:rFonts w:eastAsia="Calibri" w:eastAsiaTheme="minorHAnsi"/>
          <w:sz w:val="22"/>
          <w:szCs w:val="22"/>
          <w:lang w:val="sr-CS"/>
        </w:rPr>
        <w:t>8.</w:t>
      </w:r>
      <w:r>
        <w:rPr>
          <w:lang w:val="sr-Latn-RS" w:eastAsia="sr-Latn-RS"/>
        </w:rPr>
        <w:t xml:space="preserve"> </w:t>
      </w:r>
      <w:r>
        <w:rPr>
          <w:lang w:val="sr-Latn-RS" w:eastAsia="sr-Latn-RS"/>
        </w:rPr>
        <w:drawing>
          <wp:inline distT="0" distB="0" distL="0" distR="0">
            <wp:extent cx="5972810" cy="3860165"/>
            <wp:effectExtent l="0" t="0" r="0" b="0"/>
            <wp:docPr id="3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Style w:val="BodyText1"/>
          <w:rFonts w:eastAsia="Calibri" w:eastAsiaTheme="minorHAnsi"/>
          <w:sz w:val="22"/>
          <w:szCs w:val="22"/>
          <w:lang w:val="sr-Latn-RS"/>
        </w:rPr>
      </w:pPr>
      <w:r>
        <w:rPr>
          <w:rFonts w:eastAsia="Calibri" w:eastAsiaTheme="minorHAnsi"/>
          <w:sz w:val="22"/>
          <w:szCs w:val="22"/>
          <w:lang w:val="sr-Latn-RS"/>
        </w:rPr>
      </w:r>
    </w:p>
    <w:p>
      <w:pPr>
        <w:pStyle w:val="Normal"/>
        <w:spacing w:before="0" w:after="0"/>
        <w:jc w:val="both"/>
        <w:rPr>
          <w:rStyle w:val="BodyText1"/>
          <w:rFonts w:eastAsia="Calibri" w:eastAsiaTheme="minorHAnsi"/>
          <w:sz w:val="22"/>
          <w:szCs w:val="22"/>
          <w:lang w:val="sr-CS"/>
        </w:rPr>
      </w:pPr>
      <w:r>
        <w:rPr>
          <w:rFonts w:eastAsia="Calibri" w:eastAsiaTheme="minorHAnsi"/>
          <w:sz w:val="22"/>
          <w:szCs w:val="22"/>
          <w:lang w:val="sr-CS"/>
        </w:rPr>
      </w:r>
    </w:p>
    <w:p>
      <w:pPr>
        <w:pStyle w:val="Normal"/>
        <w:spacing w:before="0" w:after="0"/>
        <w:jc w:val="both"/>
        <w:rPr>
          <w:rStyle w:val="BodyText1"/>
          <w:rFonts w:eastAsia="Calibri" w:eastAsiaTheme="minorHAnsi"/>
          <w:sz w:val="22"/>
          <w:szCs w:val="22"/>
          <w:lang w:val="sr-CS"/>
        </w:rPr>
      </w:pPr>
      <w:r>
        <w:rPr>
          <w:rFonts w:eastAsia="Calibri" w:eastAsiaTheme="minorHAnsi"/>
          <w:sz w:val="22"/>
          <w:szCs w:val="22"/>
          <w:lang w:val="sr-CS"/>
        </w:rPr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sr-CS"/>
        </w:rPr>
      </w:pPr>
      <w:r>
        <w:rPr>
          <w:rFonts w:eastAsia="Calibri" w:eastAsiaTheme="minorHAnsi"/>
          <w:sz w:val="28"/>
          <w:szCs w:val="28"/>
          <w:lang w:val="sr-CS"/>
        </w:rPr>
      </w:r>
    </w:p>
    <w:p>
      <w:pPr>
        <w:pStyle w:val="Normal"/>
        <w:jc w:val="both"/>
        <w:rPr>
          <w:rStyle w:val="BodyText1"/>
          <w:rFonts w:eastAsia="Calibri" w:eastAsiaTheme="minorHAnsi"/>
          <w:sz w:val="28"/>
          <w:szCs w:val="28"/>
          <w:lang w:val="sr-CS"/>
        </w:rPr>
      </w:pPr>
      <w:r>
        <w:rPr>
          <w:rFonts w:eastAsia="Calibri" w:eastAsiaTheme="minorHAnsi"/>
          <w:sz w:val="28"/>
          <w:szCs w:val="28"/>
          <w:lang w:val="sr-CS"/>
        </w:rPr>
      </w:r>
    </w:p>
    <w:p>
      <w:pPr>
        <w:pStyle w:val="Normal"/>
        <w:jc w:val="both"/>
        <w:rPr>
          <w:rStyle w:val="BodyText1"/>
          <w:rFonts w:eastAsia="Calibri" w:eastAsiaTheme="minorHAnsi"/>
          <w:b/>
          <w:b/>
          <w:sz w:val="28"/>
          <w:szCs w:val="28"/>
          <w:lang w:val="sr-CS"/>
        </w:rPr>
      </w:pPr>
      <w:r>
        <w:rPr>
          <w:rStyle w:val="BodyText1"/>
          <w:rFonts w:eastAsia="Calibri" w:eastAsiaTheme="minorHAnsi"/>
          <w:b/>
          <w:sz w:val="28"/>
          <w:szCs w:val="28"/>
          <w:lang w:val="sr-CS"/>
        </w:rPr>
        <w:t>5.1. НА ШТА СЕ ТРОШИ НОВАЦ?</w:t>
      </w:r>
    </w:p>
    <w:p>
      <w:pPr>
        <w:pStyle w:val="Normal"/>
        <w:rPr>
          <w:rStyle w:val="BodyText1"/>
          <w:rFonts w:eastAsia="Calibri" w:eastAsiaTheme="minorHAnsi"/>
          <w:sz w:val="28"/>
          <w:szCs w:val="28"/>
          <w:lang w:val="sr-RS"/>
        </w:rPr>
      </w:pPr>
      <w:r>
        <w:rPr>
          <w:rStyle w:val="BodyText1"/>
          <w:rFonts w:eastAsia="Calibri" w:eastAsiaTheme="minorHAnsi"/>
          <w:sz w:val="28"/>
          <w:szCs w:val="28"/>
          <w:lang w:val="sr-CS"/>
        </w:rPr>
        <w:t>У</w:t>
      </w:r>
      <w:r>
        <w:rPr>
          <w:rStyle w:val="BodyText1"/>
          <w:rFonts w:eastAsia="Calibri" w:eastAsiaTheme="minorHAnsi"/>
          <w:sz w:val="28"/>
          <w:szCs w:val="28"/>
        </w:rPr>
        <w:t xml:space="preserve"> 202</w:t>
      </w:r>
      <w:r>
        <w:rPr>
          <w:rStyle w:val="BodyText1"/>
          <w:rFonts w:eastAsia="Calibri" w:eastAsiaTheme="minorHAnsi"/>
          <w:sz w:val="28"/>
          <w:szCs w:val="28"/>
          <w:lang w:val="sr-RS"/>
        </w:rPr>
        <w:t>6</w:t>
      </w:r>
      <w:r>
        <w:rPr>
          <w:rStyle w:val="BodyText1"/>
          <w:rFonts w:eastAsia="Calibri" w:eastAsiaTheme="minorHAnsi"/>
          <w:sz w:val="28"/>
          <w:szCs w:val="28"/>
        </w:rPr>
        <w:t xml:space="preserve">. години највише новца из буџета биће издвојено за 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опште јавне услуге, развој заједнице, саобраћај, образовање</w:t>
      </w:r>
      <w:r>
        <w:rPr>
          <w:rStyle w:val="BodyText1"/>
          <w:rFonts w:eastAsia="Calibri" w:eastAsiaTheme="minorHAnsi"/>
          <w:sz w:val="28"/>
          <w:szCs w:val="28"/>
        </w:rPr>
        <w:t xml:space="preserve">, социјалну заштиту и културу, заштиту животне средине,  водоснабдевање, спорт и рекреацију. </w:t>
      </w:r>
      <w:r>
        <w:rPr>
          <w:rStyle w:val="BodyText1"/>
          <w:rFonts w:eastAsia="Calibri" w:eastAsiaTheme="minorHAnsi"/>
          <w:sz w:val="28"/>
          <w:szCs w:val="28"/>
          <w:lang w:val="sr-CS"/>
        </w:rPr>
        <w:t>У</w:t>
      </w:r>
      <w:r>
        <w:rPr>
          <w:rStyle w:val="BodyText1"/>
          <w:rFonts w:eastAsia="Calibri" w:eastAsiaTheme="minorHAnsi"/>
          <w:sz w:val="28"/>
          <w:szCs w:val="28"/>
        </w:rPr>
        <w:t xml:space="preserve"> наредној табели као и графички - </w:t>
      </w:r>
      <w:r>
        <w:rPr>
          <w:rFonts w:cs="Times New Roman" w:ascii="Times New Roman" w:hAnsi="Times New Roman"/>
          <w:sz w:val="24"/>
          <w:szCs w:val="24"/>
          <w:lang w:val="sr-CS"/>
        </w:rPr>
        <w:t xml:space="preserve">Слика 9. </w:t>
      </w:r>
      <w:r>
        <w:rPr>
          <w:rStyle w:val="BodyText1"/>
          <w:rFonts w:eastAsia="Calibri" w:eastAsiaTheme="minorHAnsi"/>
          <w:sz w:val="28"/>
          <w:szCs w:val="28"/>
        </w:rPr>
        <w:t>може се видети колико је процентуално учешће појединих области односно сектора у укупним расходима и издацима</w:t>
      </w:r>
    </w:p>
    <w:tbl>
      <w:tblPr>
        <w:tblW w:w="8880" w:type="dxa"/>
        <w:jc w:val="left"/>
        <w:tblInd w:w="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119"/>
        <w:gridCol w:w="3081"/>
        <w:gridCol w:w="2680"/>
      </w:tblGrid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сектор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 xml:space="preserve">износ 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%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образовање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278,260,000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27.78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опште јавне услуге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329,925,000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32.94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саобраћај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76,000,000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7.59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животна средина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77,850,000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7.77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спорт, култура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112,750,000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11.26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пољопривреда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2,700,000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0.27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социјална заштита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38,285,000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3.82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развој заједнице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5,500,000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0.55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водоснабдевање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30,000,000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3.00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јавна расвета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29,200,000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2.92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здравство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8,500,000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0.85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туризам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7,600,000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0.76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правобранилаштво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5,010,000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0.50</w:t>
            </w:r>
          </w:p>
        </w:tc>
      </w:tr>
      <w:tr>
        <w:trPr>
          <w:trHeight w:val="375" w:hRule="atLeast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9F7F1" w:themeFill="accent6" w:themeFillTint="33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 </w:t>
            </w: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1,001,580,000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4EFE3" w:themeFill="accent6" w:themeFillTint="66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val="sr-Latn-RS" w:eastAsia="sr-Latn-RS"/>
              </w:rPr>
              <w:t>100.00</w:t>
            </w:r>
          </w:p>
        </w:tc>
      </w:tr>
    </w:tbl>
    <w:p>
      <w:pPr>
        <w:pStyle w:val="Normal"/>
        <w:rPr>
          <w:rStyle w:val="BodyText1"/>
          <w:rFonts w:eastAsia="Calibri" w:eastAsiaTheme="minorHAnsi"/>
          <w:sz w:val="28"/>
          <w:szCs w:val="28"/>
          <w:lang w:val="sr-RS"/>
        </w:rPr>
      </w:pPr>
      <w:r>
        <w:rPr>
          <w:rFonts w:eastAsia="Calibri" w:eastAsiaTheme="minorHAnsi"/>
          <w:sz w:val="28"/>
          <w:szCs w:val="28"/>
          <w:lang w:val="sr-RS"/>
        </w:rPr>
      </w:r>
    </w:p>
    <w:p>
      <w:pPr>
        <w:pStyle w:val="Normal"/>
        <w:rPr>
          <w:rStyle w:val="BodyText1"/>
          <w:rFonts w:eastAsia="Calibri" w:eastAsiaTheme="minorHAnsi"/>
          <w:sz w:val="28"/>
          <w:szCs w:val="28"/>
          <w:lang w:val="sr-RS"/>
        </w:rPr>
      </w:pPr>
      <w:r>
        <w:rPr/>
        <w:drawing>
          <wp:inline distT="0" distB="0" distL="0" distR="0">
            <wp:extent cx="5972810" cy="3317875"/>
            <wp:effectExtent l="0" t="0" r="0" b="0"/>
            <wp:docPr id="33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pStyle w:val="Normal"/>
        <w:rPr>
          <w:rStyle w:val="BodyText1"/>
          <w:rFonts w:eastAsia="Calibri" w:eastAsiaTheme="minorHAnsi"/>
          <w:sz w:val="28"/>
          <w:szCs w:val="28"/>
          <w:lang w:val="sr-RS"/>
        </w:rPr>
      </w:pPr>
      <w:r>
        <w:rPr>
          <w:rFonts w:eastAsia="Calibri" w:eastAsiaTheme="minorHAnsi"/>
          <w:sz w:val="28"/>
          <w:szCs w:val="28"/>
          <w:lang w:val="sr-RS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  <w:u w:val="single"/>
          <w:lang w:val="sr-R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RS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sz w:val="26"/>
          <w:szCs w:val="26"/>
          <w:u w:val="single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>5.1.1.  СОЦИЈАЛНА ЗАШТИТА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Мимо облика социјалне заштите који се одређују и финансирају са републичког нивоа, Општин</w:t>
      </w:r>
      <w:r>
        <w:rPr>
          <w:rFonts w:cs="Times New Roman" w:ascii="Times New Roman" w:hAnsi="Times New Roman"/>
          <w:sz w:val="26"/>
          <w:szCs w:val="26"/>
        </w:rPr>
        <w:t>a</w:t>
      </w:r>
      <w:r>
        <w:rPr>
          <w:rFonts w:cs="Times New Roman" w:ascii="Times New Roman" w:hAnsi="Times New Roman"/>
          <w:sz w:val="26"/>
          <w:szCs w:val="26"/>
          <w:lang w:val="sr-CS"/>
        </w:rPr>
        <w:t xml:space="preserve"> - у оквиру законом и посебним прописима дозвољеним могућностима издваја све већа средства за најразноврсније видове социјалне подршке својим грађанима. У буџету Општине за наредну годину средства су предвиђена за следеће врсте социјалне подршке и помоћи: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cs="Times New Roman" w:ascii="Times New Roman" w:hAnsi="Times New Roman"/>
          <w:sz w:val="20"/>
          <w:szCs w:val="20"/>
          <w:lang w:val="sr-CS"/>
        </w:rPr>
        <w:t>Слика 10.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19">
                <wp:simplePos x="0" y="0"/>
                <wp:positionH relativeFrom="column">
                  <wp:posOffset>1786890</wp:posOffset>
                </wp:positionH>
                <wp:positionV relativeFrom="paragraph">
                  <wp:posOffset>132715</wp:posOffset>
                </wp:positionV>
                <wp:extent cx="429260" cy="3155950"/>
                <wp:effectExtent l="0" t="0" r="17145" b="17145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60" cy="3155400"/>
                        </a:xfrm>
                        <a:prstGeom prst="rect">
                          <a:avLst/>
                        </a:prstGeom>
                        <a:solidFill>
                          <a:srgbClr val="feb80a"/>
                        </a:solidFill>
                        <a:ln w="38160">
                          <a:solidFill>
                            <a:srgbClr val="f2f2f2"/>
                          </a:solidFill>
                          <a:round/>
                        </a:ln>
                        <a:effectLst>
                          <a:outerShdw dir="2700000" dist="24130">
                            <a:srgbClr val="3e6b19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  <w:lang w:val="sr-CS"/>
                              </w:rPr>
                              <w:t>Социјална заштита  -  3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  <w:lang w:val="sr-Latn-RS"/>
                              </w:rPr>
                              <w:t>8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  <w:lang w:val="sr-Latn-RS"/>
                              </w:rPr>
                              <w:t>285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  <w:lang w:val="sr-CS"/>
                              </w:rPr>
                              <w:t>.000</w:t>
                            </w:r>
                          </w:p>
                        </w:txbxContent>
                      </wps:txbx>
                      <wps:bodyPr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eb80a" stroked="t" style="position:absolute;margin-left:140.7pt;margin-top:10.45pt;width:33.7pt;height:248.4pt">
                <w10:wrap type="square"/>
                <v:fill type="solid" color2="#0147f5" o:detectmouseclick="t"/>
                <v:stroke color="#f2f2f2" weight="38160" joinstyle="round" endcap="flat"/>
                <v:shadow on="t" obscured="f" color="#3e6b19"/>
                <v:textbox style="mso-layout-flow-alt:bottom-to-top"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  <w:lang w:val="sr-CS"/>
                        </w:rPr>
                        <w:t>Социјална заштита  -  3</w:t>
                      </w:r>
                      <w:r>
                        <w:rPr>
                          <w:color w:val="auto"/>
                          <w:sz w:val="32"/>
                          <w:szCs w:val="32"/>
                          <w:lang w:val="sr-Latn-RS"/>
                        </w:rPr>
                        <w:t>8</w:t>
                      </w:r>
                      <w:r>
                        <w:rPr>
                          <w:color w:val="auto"/>
                          <w:sz w:val="32"/>
                          <w:szCs w:val="32"/>
                          <w:lang w:val="en-GB"/>
                        </w:rPr>
                        <w:t>,</w:t>
                      </w:r>
                      <w:r>
                        <w:rPr>
                          <w:color w:val="auto"/>
                          <w:sz w:val="32"/>
                          <w:szCs w:val="32"/>
                          <w:lang w:val="sr-Latn-RS"/>
                        </w:rPr>
                        <w:t>285</w:t>
                      </w:r>
                      <w:r>
                        <w:rPr>
                          <w:color w:val="auto"/>
                          <w:sz w:val="32"/>
                          <w:szCs w:val="32"/>
                          <w:lang w:val="sr-CS"/>
                        </w:rPr>
                        <w:t>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3">
                <wp:simplePos x="0" y="0"/>
                <wp:positionH relativeFrom="column">
                  <wp:posOffset>2750820</wp:posOffset>
                </wp:positionH>
                <wp:positionV relativeFrom="paragraph">
                  <wp:posOffset>215265</wp:posOffset>
                </wp:positionV>
                <wp:extent cx="1722120" cy="55689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520" cy="556200"/>
                        </a:xfrm>
                        <a:prstGeom prst="rect">
                          <a:avLst/>
                        </a:prstGeom>
                        <a:solidFill>
                          <a:srgbClr val="fbc08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Помоћ бебама 3,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750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bc08f" stroked="t" style="position:absolute;margin-left:216.6pt;margin-top:16.95pt;width:135.5pt;height:43.75pt">
                <w10:wrap type="square"/>
                <v:fill type="solid" color2="#043f70" o:detectmouseclick="t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Помоћ бебама 3,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750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25">
                <wp:simplePos x="0" y="0"/>
                <wp:positionH relativeFrom="column">
                  <wp:posOffset>2429510</wp:posOffset>
                </wp:positionH>
                <wp:positionV relativeFrom="paragraph">
                  <wp:posOffset>215265</wp:posOffset>
                </wp:positionV>
                <wp:extent cx="26035" cy="2950210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0" cy="294948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4" coordsize="21600,21600" o:spt="64" adj="0,2700" path="m@11@0c@16@3@18@4@13@0l@20@5c@23@7@21@6@19@5xe">
                <v:stroke joinstyle="miter"/>
                <v:formulas>
                  <v:f eqn="val #1"/>
                  <v:f eqn="val #0"/>
                  <v:f eqn="prod @0 10 3"/>
                  <v:f eqn="sum @0 0 @2"/>
                  <v:f eqn="sum @0 @2 0"/>
                  <v:f eqn="sum height 0 @0"/>
                  <v:f eqn="sum @5 0 @2"/>
                  <v:f eqn="sum @5 @2 0"/>
                  <v:f eqn="prod 2 @1 1"/>
                  <v:f eqn="abs @1"/>
                  <v:f eqn="if @8 0 @8"/>
                  <v:f eqn="sum 0 0 @10"/>
                  <v:f eqn="if @8 @8 0"/>
                  <v:f eqn="sum width 0 @12"/>
                  <v:f eqn="sum @10 @13 0"/>
                  <v:f eqn="prod 1 @14 3"/>
                  <v:f eqn="sum @11 @15 0"/>
                  <v:f eqn="sum @16 @13 0"/>
                  <v:f eqn="prod 1 @17 2"/>
                  <v:f eqn="sum 0 @12 0"/>
                  <v:f eqn="sum width @10 0"/>
                  <v:f eqn="sum @19 @15 0"/>
                  <v:f eqn="sum @21 @20 0"/>
                  <v:f eqn="prod 1 @22 2"/>
                  <v:f eqn="sum width 0 @9"/>
                  <v:f eqn="sum 10800 @1 0"/>
                  <v:f eqn="sum 10800 0 @1"/>
                  <v:f eqn="max @11 @19"/>
                  <v:f eqn="min @13 @20"/>
                  <v:f eqn="prod 2 @0 1"/>
                  <v:f eqn="sum height 0 @29"/>
                </v:formulas>
                <v:path gradientshapeok="t" o:connecttype="rect" textboxrect="@27,@29,@28,@30"/>
                <v:handles>
                  <v:h position="0,@0"/>
                  <v:h position="@25,21600"/>
                </v:handles>
              </v:shapetype>
              <v:shape id="shape_0" fillcolor="white" stroked="t" style="position:absolute;margin-left:191.3pt;margin-top:16.95pt;width:1.95pt;height:232.2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26">
                <wp:simplePos x="0" y="0"/>
                <wp:positionH relativeFrom="column">
                  <wp:posOffset>2454275</wp:posOffset>
                </wp:positionH>
                <wp:positionV relativeFrom="paragraph">
                  <wp:posOffset>215265</wp:posOffset>
                </wp:positionV>
                <wp:extent cx="297815" cy="240030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60" cy="23940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93.25pt;margin-top:16.95pt;width:23.35pt;height:18.8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-181610</wp:posOffset>
                </wp:positionH>
                <wp:positionV relativeFrom="paragraph">
                  <wp:posOffset>10160</wp:posOffset>
                </wp:positionV>
                <wp:extent cx="1779905" cy="490855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120" cy="49032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Центар за социјални рад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9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fff99" stroked="t" style="position:absolute;margin-left:-14.3pt;margin-top:0.8pt;width:140.05pt;height:38.55pt">
                <w10:wrap type="square"/>
                <v:fill type="solid" color2="#000066" o:detectmouseclick="t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Центар за социјални рад</w:t>
                      </w:r>
                    </w:p>
                    <w:p>
                      <w:pPr>
                        <w:pStyle w:val="FrameContents"/>
                        <w:spacing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9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00.000,00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0">
                <wp:simplePos x="0" y="0"/>
                <wp:positionH relativeFrom="column">
                  <wp:posOffset>2214245</wp:posOffset>
                </wp:positionH>
                <wp:positionV relativeFrom="paragraph">
                  <wp:posOffset>0</wp:posOffset>
                </wp:positionV>
                <wp:extent cx="157480" cy="9525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6960" cy="900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74.35pt;margin-top:0pt;width:12.3pt;height:0.65pt;flip:y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1">
                <wp:simplePos x="0" y="0"/>
                <wp:positionH relativeFrom="column">
                  <wp:posOffset>1597660</wp:posOffset>
                </wp:positionH>
                <wp:positionV relativeFrom="paragraph">
                  <wp:posOffset>108585</wp:posOffset>
                </wp:positionV>
                <wp:extent cx="190500" cy="1905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0" cy="14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25.8pt;margin-top:8.55pt;width:14.9pt;height:0.05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2">
                <wp:simplePos x="0" y="0"/>
                <wp:positionH relativeFrom="column">
                  <wp:posOffset>1597660</wp:posOffset>
                </wp:positionH>
                <wp:positionV relativeFrom="paragraph">
                  <wp:posOffset>652780</wp:posOffset>
                </wp:positionV>
                <wp:extent cx="190500" cy="190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0" cy="14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25.8pt;margin-top:51.4pt;width:14.9pt;height:0.05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3">
                <wp:simplePos x="0" y="0"/>
                <wp:positionH relativeFrom="column">
                  <wp:posOffset>1597660</wp:posOffset>
                </wp:positionH>
                <wp:positionV relativeFrom="paragraph">
                  <wp:posOffset>1262380</wp:posOffset>
                </wp:positionV>
                <wp:extent cx="190500" cy="1905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0" cy="14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25.8pt;margin-top:99.4pt;width:14.9pt;height:0.05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4">
                <wp:simplePos x="0" y="0"/>
                <wp:positionH relativeFrom="column">
                  <wp:posOffset>1597660</wp:posOffset>
                </wp:positionH>
                <wp:positionV relativeFrom="paragraph">
                  <wp:posOffset>1888490</wp:posOffset>
                </wp:positionV>
                <wp:extent cx="190500" cy="190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0" cy="14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25.8pt;margin-top:148.7pt;width:14.9pt;height:0.05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5">
                <wp:simplePos x="0" y="0"/>
                <wp:positionH relativeFrom="column">
                  <wp:posOffset>1597660</wp:posOffset>
                </wp:positionH>
                <wp:positionV relativeFrom="paragraph">
                  <wp:posOffset>2613025</wp:posOffset>
                </wp:positionV>
                <wp:extent cx="190500" cy="1905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0" cy="14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25.8pt;margin-top:205.75pt;width:14.9pt;height:0.05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22">
                <wp:simplePos x="0" y="0"/>
                <wp:positionH relativeFrom="column">
                  <wp:posOffset>2792095</wp:posOffset>
                </wp:positionH>
                <wp:positionV relativeFrom="paragraph">
                  <wp:posOffset>113030</wp:posOffset>
                </wp:positionV>
                <wp:extent cx="1705610" cy="683895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60" cy="683280"/>
                        </a:xfrm>
                        <a:prstGeom prst="rect">
                          <a:avLst/>
                        </a:prstGeom>
                        <a:solidFill>
                          <a:srgbClr val="f2a958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Подршка деци и ученицима   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7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2a958" stroked="t" style="position:absolute;margin-left:219.85pt;margin-top:8.9pt;width:134.2pt;height:53.75pt">
                <w10:wrap type="square"/>
                <v:fill type="solid" color2="#0d56a7" o:detectmouseclick="t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Подршка деци и ученицима   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7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0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4">
                <wp:simplePos x="0" y="0"/>
                <wp:positionH relativeFrom="column">
                  <wp:posOffset>-181610</wp:posOffset>
                </wp:positionH>
                <wp:positionV relativeFrom="paragraph">
                  <wp:posOffset>175260</wp:posOffset>
                </wp:positionV>
                <wp:extent cx="1779905" cy="601980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120" cy="601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Једнократне помоћи у сарадњи са НВО сектором                        900.000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fff66" stroked="t" style="position:absolute;margin-left:-14.3pt;margin-top:13.8pt;width:140.05pt;height:47.3pt">
                <w10:wrap type="square"/>
                <v:fill type="solid" color2="#000099" o:detectmouseclick="t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0"/>
                        <w:jc w:val="center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Једнократне помоћи у сарадњи са НВО сектором                        900.000</w:t>
                      </w:r>
                    </w:p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1" distT="0" distB="0" distL="114300" distR="114300" simplePos="0" locked="0" layoutInCell="1" allowOverlap="1" relativeHeight="27">
                <wp:simplePos x="0" y="0"/>
                <wp:positionH relativeFrom="column">
                  <wp:posOffset>2494280</wp:posOffset>
                </wp:positionH>
                <wp:positionV relativeFrom="paragraph">
                  <wp:posOffset>26035</wp:posOffset>
                </wp:positionV>
                <wp:extent cx="322580" cy="952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1840" cy="900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96.4pt;margin-top:2.05pt;width:25.3pt;height:0.65pt;flip:y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17">
                <wp:simplePos x="0" y="0"/>
                <wp:positionH relativeFrom="column">
                  <wp:posOffset>-181610</wp:posOffset>
                </wp:positionH>
                <wp:positionV relativeFrom="paragraph">
                  <wp:posOffset>155575</wp:posOffset>
                </wp:positionV>
                <wp:extent cx="1779905" cy="74993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120" cy="7491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Унапређење положаја  избеглих и расељених лица   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435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.000,00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yellow" stroked="t" style="position:absolute;margin-left:-14.3pt;margin-top:12.25pt;width:140.05pt;height:58.95pt">
                <w10:wrap type="square"/>
                <v:fill type="solid" color2="blue" o:detectmouseclick="t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0"/>
                        <w:jc w:val="center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Унапређење положаја  избеглих и расељених лица   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435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.000,00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0">
                <wp:simplePos x="0" y="0"/>
                <wp:positionH relativeFrom="column">
                  <wp:posOffset>2792095</wp:posOffset>
                </wp:positionH>
                <wp:positionV relativeFrom="paragraph">
                  <wp:posOffset>175895</wp:posOffset>
                </wp:positionV>
                <wp:extent cx="1680845" cy="659130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120" cy="658440"/>
                        </a:xfrm>
                        <a:prstGeom prst="rect">
                          <a:avLst/>
                        </a:prstGeom>
                        <a:solidFill>
                          <a:srgbClr val="dc6a24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Дневне услуге у заједници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  3,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dc6a24" stroked="t" style="position:absolute;margin-left:219.85pt;margin-top:13.85pt;width:132.25pt;height:51.8pt">
                <w10:wrap type="square"/>
                <v:fill type="solid" color2="#2395db" o:detectmouseclick="t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Дневне услуге у заједници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  3,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00.000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1" distT="0" distB="0" distL="114300" distR="114300" simplePos="0" locked="0" layoutInCell="1" allowOverlap="1" relativeHeight="28">
                <wp:simplePos x="0" y="0"/>
                <wp:positionH relativeFrom="column">
                  <wp:posOffset>2470785</wp:posOffset>
                </wp:positionH>
                <wp:positionV relativeFrom="paragraph">
                  <wp:posOffset>78105</wp:posOffset>
                </wp:positionV>
                <wp:extent cx="322580" cy="1905"/>
                <wp:effectExtent l="0" t="0" r="0" b="0"/>
                <wp:wrapNone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40" cy="14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94.55pt;margin-top:6.15pt;width:25.3pt;height:0.05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18">
                <wp:simplePos x="0" y="0"/>
                <wp:positionH relativeFrom="column">
                  <wp:posOffset>-181610</wp:posOffset>
                </wp:positionH>
                <wp:positionV relativeFrom="paragraph">
                  <wp:posOffset>304165</wp:posOffset>
                </wp:positionV>
                <wp:extent cx="1779905" cy="552450"/>
                <wp:effectExtent l="0" t="0" r="0" b="0"/>
                <wp:wrapNone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120" cy="55188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Црвени Крст Владичин Хан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10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00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ffcc00" stroked="t" style="position:absolute;margin-left:-14.3pt;margin-top:23.95pt;width:140.05pt;height:43.4pt">
                <w10:wrap type="square"/>
                <v:fill type="solid" color2="#0033ff" o:detectmouseclick="t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Црвени Крст Владичин Хан</w:t>
                      </w:r>
                    </w:p>
                    <w:p>
                      <w:pPr>
                        <w:pStyle w:val="FrameContents"/>
                        <w:spacing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10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en-GB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00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1">
                <wp:simplePos x="0" y="0"/>
                <wp:positionH relativeFrom="column">
                  <wp:posOffset>2792095</wp:posOffset>
                </wp:positionH>
                <wp:positionV relativeFrom="paragraph">
                  <wp:posOffset>230505</wp:posOffset>
                </wp:positionV>
                <wp:extent cx="1680845" cy="721360"/>
                <wp:effectExtent l="0" t="0" r="0" b="0"/>
                <wp:wrapNone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120" cy="720720"/>
                        </a:xfrm>
                        <a:prstGeom prst="rect">
                          <a:avLst/>
                        </a:prstGeom>
                        <a:solidFill>
                          <a:srgbClr val="c76b33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Подршка особама са инвалидитетом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4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c76b33" stroked="t" style="position:absolute;margin-left:219.85pt;margin-top:18.15pt;width:132.25pt;height:56.7pt">
                <w10:wrap type="square"/>
                <v:fill type="solid" color2="#3894cc" o:detectmouseclick="t"/>
                <v:stroke color="black" weight="72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Подршка особама са инвалидитетом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4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2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column">
                  <wp:posOffset>2215515</wp:posOffset>
                </wp:positionH>
                <wp:positionV relativeFrom="paragraph">
                  <wp:posOffset>78105</wp:posOffset>
                </wp:positionV>
                <wp:extent cx="215265" cy="1905"/>
                <wp:effectExtent l="0" t="0" r="0" b="0"/>
                <wp:wrapNone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0" cy="14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74.45pt;margin-top:6.15pt;width:16.85pt;height:0.05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1" distT="0" distB="0" distL="114300" distR="114300" simplePos="0" locked="0" layoutInCell="1" allowOverlap="1" relativeHeight="29">
                <wp:simplePos x="0" y="0"/>
                <wp:positionH relativeFrom="column">
                  <wp:posOffset>2469515</wp:posOffset>
                </wp:positionH>
                <wp:positionV relativeFrom="paragraph">
                  <wp:posOffset>307340</wp:posOffset>
                </wp:positionV>
                <wp:extent cx="297815" cy="9525"/>
                <wp:effectExtent l="0" t="0" r="0" b="0"/>
                <wp:wrapNone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7360" cy="900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94.45pt;margin-top:24.2pt;width:23.35pt;height:0.65pt;flip:y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>5.1.2.  ОПШТЕ ЈАВНЕ УСЛУГЕ</w:t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Овај сегмент функционисања Општине подразумева рад и трошкове рада Законом о локалној самоуправи установљених Органа Општине и то: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Скупштина Општине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Општинско веће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Председник Општине 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Јавно правобранилаштво и </w:t>
      </w:r>
    </w:p>
    <w:p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Општинска управа</w:t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Њихово финансирање дато је у наредним прегледима .</w:t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36">
                <wp:simplePos x="0" y="0"/>
                <wp:positionH relativeFrom="column">
                  <wp:posOffset>1885950</wp:posOffset>
                </wp:positionH>
                <wp:positionV relativeFrom="paragraph">
                  <wp:posOffset>-238760</wp:posOffset>
                </wp:positionV>
                <wp:extent cx="1936750" cy="915035"/>
                <wp:effectExtent l="0" t="0" r="17145" b="17145"/>
                <wp:wrapNone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080" cy="914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94efe3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b/>
                                <w:b/>
                                <w:lang w:val="sr-CS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lang w:val="sr-CS"/>
                              </w:rPr>
                              <w:t>ОПШТЕ ЈАВНЕ УСЛУГЕ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lang w:val="sr-CS"/>
                              </w:rPr>
                              <w:t>332.085.000,00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94efe3" stroked="t" style="position:absolute;margin-left:148.5pt;margin-top:-18.8pt;width:152.4pt;height:71.95pt">
                <w10:wrap type="square"/>
                <v:fill color2="white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b/>
                          <w:b/>
                          <w:lang w:val="sr-CS"/>
                        </w:rPr>
                      </w:pPr>
                      <w:r>
                        <w:rPr>
                          <w:b/>
                          <w:color w:val="auto"/>
                          <w:lang w:val="sr-CS"/>
                        </w:rPr>
                        <w:t>ОПШТЕ ЈАВНЕ УСЛУГЕ</w:t>
                      </w:r>
                    </w:p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lang w:val="sr-CS"/>
                        </w:rPr>
                        <w:t>332.085.000,00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mc:AlternateContent>
          <mc:Choice Requires="wps">
            <w:drawing>
              <wp:anchor behindDoc="1" distT="0" distB="0" distL="114300" distR="114300" simplePos="0" locked="0" layoutInCell="1" allowOverlap="1" relativeHeight="45">
                <wp:simplePos x="0" y="0"/>
                <wp:positionH relativeFrom="column">
                  <wp:posOffset>2907665</wp:posOffset>
                </wp:positionH>
                <wp:positionV relativeFrom="paragraph">
                  <wp:posOffset>50800</wp:posOffset>
                </wp:positionV>
                <wp:extent cx="1905" cy="306070"/>
                <wp:effectExtent l="0" t="0" r="0" b="0"/>
                <wp:wrapNone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30528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228.95pt;margin-top:4pt;width:0.05pt;height:24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37">
                <wp:simplePos x="0" y="0"/>
                <wp:positionH relativeFrom="column">
                  <wp:posOffset>-379730</wp:posOffset>
                </wp:positionH>
                <wp:positionV relativeFrom="paragraph">
                  <wp:posOffset>332105</wp:posOffset>
                </wp:positionV>
                <wp:extent cx="1104900" cy="915035"/>
                <wp:effectExtent l="0" t="0" r="17145" b="17145"/>
                <wp:wrapNone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20" cy="914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94efe3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ПРЕДСЕДНИК ОПШТИНЕ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sr-Latn-RS"/>
                              </w:rPr>
                              <w:t>12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lang w:val="sr-Latn-RS"/>
                              </w:rPr>
                              <w:t>18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>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94efe3" stroked="t" style="position:absolute;margin-left:-29.9pt;margin-top:26.15pt;width:86.9pt;height:71.95pt">
                <w10:wrap type="square"/>
                <v:fill color2="white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lang w:val="sr-CS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ПРЕДСЕДНИК ОПШТИНЕ</w:t>
                      </w:r>
                    </w:p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sr-Latn-RS"/>
                        </w:rPr>
                        <w:t>12</w:t>
                      </w:r>
                      <w:r>
                        <w:rPr>
                          <w:color w:val="auto"/>
                          <w:lang w:val="sr-CS"/>
                        </w:rPr>
                        <w:t>,</w:t>
                      </w:r>
                      <w:r>
                        <w:rPr>
                          <w:color w:val="auto"/>
                          <w:lang w:val="sr-Latn-RS"/>
                        </w:rPr>
                        <w:t>18</w:t>
                      </w:r>
                      <w:r>
                        <w:rPr>
                          <w:color w:val="auto"/>
                          <w:lang w:val="sr-CS"/>
                        </w:rPr>
                        <w:t>0.000,00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8">
                <wp:simplePos x="0" y="0"/>
                <wp:positionH relativeFrom="column">
                  <wp:posOffset>905510</wp:posOffset>
                </wp:positionH>
                <wp:positionV relativeFrom="paragraph">
                  <wp:posOffset>356235</wp:posOffset>
                </wp:positionV>
                <wp:extent cx="1121410" cy="915035"/>
                <wp:effectExtent l="0" t="0" r="17145" b="17145"/>
                <wp:wrapNone/>
                <wp:docPr id="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680" cy="914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ОПШТИНСКО ВЕЋЕ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sr-Latn-RS"/>
                              </w:rPr>
                              <w:t>7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lang w:val="sr-Latn-RS"/>
                              </w:rPr>
                              <w:t>190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>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71.3pt;margin-top:28.05pt;width:88.2pt;height:71.9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lang w:val="sr-CS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ОПШТИНСКО ВЕЋЕ</w:t>
                      </w:r>
                    </w:p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sr-Latn-RS"/>
                        </w:rPr>
                        <w:t>7</w:t>
                      </w:r>
                      <w:r>
                        <w:rPr>
                          <w:color w:val="auto"/>
                          <w:lang w:val="sr-CS"/>
                        </w:rPr>
                        <w:t>,</w:t>
                      </w:r>
                      <w:r>
                        <w:rPr>
                          <w:color w:val="auto"/>
                          <w:lang w:val="sr-Latn-RS"/>
                        </w:rPr>
                        <w:t>190</w:t>
                      </w:r>
                      <w:r>
                        <w:rPr>
                          <w:color w:val="auto"/>
                          <w:lang w:val="sr-CS"/>
                        </w:rPr>
                        <w:t>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9">
                <wp:simplePos x="0" y="0"/>
                <wp:positionH relativeFrom="column">
                  <wp:posOffset>2527935</wp:posOffset>
                </wp:positionH>
                <wp:positionV relativeFrom="paragraph">
                  <wp:posOffset>332105</wp:posOffset>
                </wp:positionV>
                <wp:extent cx="1550035" cy="864870"/>
                <wp:effectExtent l="0" t="0" r="17145" b="17145"/>
                <wp:wrapNone/>
                <wp:docPr id="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40" cy="864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hd w:val="clear" w:color="auto" w:fill="5FE7D5" w:themeFill="accent6" w:themeFillTint="99"/>
                              <w:jc w:val="center"/>
                              <w:rPr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СКУПШТИНА ОПШТИНЕ</w:t>
                            </w:r>
                          </w:p>
                          <w:p>
                            <w:pPr>
                              <w:pStyle w:val="FrameContents"/>
                              <w:shd w:val="clear" w:color="auto" w:fill="5FE7D5" w:themeFill="accent6" w:themeFillTint="99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1</w:t>
                            </w:r>
                            <w:r>
                              <w:rPr>
                                <w:color w:val="auto"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lang w:val="sr-Latn-RS"/>
                              </w:rPr>
                              <w:t>49</w:t>
                            </w:r>
                            <w:r>
                              <w:rPr>
                                <w:color w:val="auto"/>
                                <w:lang w:val="sr-CS"/>
                              </w:rPr>
                              <w:t>0.000,00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199.05pt;margin-top:26.15pt;width:121.95pt;height:68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hd w:val="clear" w:color="auto" w:fill="5FE7D5" w:themeFill="accent6" w:themeFillTint="99"/>
                        <w:jc w:val="center"/>
                        <w:rPr>
                          <w:lang w:val="sr-CS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СКУПШТИНА ОПШТИНЕ</w:t>
                      </w:r>
                    </w:p>
                    <w:p>
                      <w:pPr>
                        <w:pStyle w:val="FrameContents"/>
                        <w:shd w:val="clear" w:color="auto" w:fill="5FE7D5" w:themeFill="accent6" w:themeFillTint="99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1</w:t>
                      </w:r>
                      <w:r>
                        <w:rPr>
                          <w:color w:val="auto"/>
                          <w:lang w:val="sr-Latn-RS"/>
                        </w:rPr>
                        <w:t>2</w:t>
                      </w:r>
                      <w:r>
                        <w:rPr>
                          <w:color w:val="auto"/>
                          <w:lang w:val="sr-CS"/>
                        </w:rPr>
                        <w:t>,</w:t>
                      </w:r>
                      <w:r>
                        <w:rPr>
                          <w:color w:val="auto"/>
                          <w:lang w:val="sr-Latn-RS"/>
                        </w:rPr>
                        <w:t>49</w:t>
                      </w:r>
                      <w:r>
                        <w:rPr>
                          <w:color w:val="auto"/>
                          <w:lang w:val="sr-CS"/>
                        </w:rPr>
                        <w:t>0.000,00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1">
                <wp:simplePos x="0" y="0"/>
                <wp:positionH relativeFrom="column">
                  <wp:posOffset>294640</wp:posOffset>
                </wp:positionH>
                <wp:positionV relativeFrom="paragraph">
                  <wp:posOffset>8255</wp:posOffset>
                </wp:positionV>
                <wp:extent cx="5775960" cy="1905"/>
                <wp:effectExtent l="0" t="0" r="0" b="0"/>
                <wp:wrapNone/>
                <wp:docPr id="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75480" cy="14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23.2pt;margin-top:0.65pt;width:454.7pt;height:0.05pt;flip:y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2">
                <wp:simplePos x="0" y="0"/>
                <wp:positionH relativeFrom="column">
                  <wp:posOffset>295910</wp:posOffset>
                </wp:positionH>
                <wp:positionV relativeFrom="paragraph">
                  <wp:posOffset>10795</wp:posOffset>
                </wp:positionV>
                <wp:extent cx="1905" cy="322580"/>
                <wp:effectExtent l="0" t="0" r="0" b="0"/>
                <wp:wrapNone/>
                <wp:docPr id="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3218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23.3pt;margin-top:0.85pt;width:0.05pt;height:25.3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3">
                <wp:simplePos x="0" y="0"/>
                <wp:positionH relativeFrom="column">
                  <wp:posOffset>2091690</wp:posOffset>
                </wp:positionH>
                <wp:positionV relativeFrom="paragraph">
                  <wp:posOffset>10795</wp:posOffset>
                </wp:positionV>
                <wp:extent cx="9525" cy="322580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" cy="32184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164.7pt;margin-top:0.85pt;width:0.65pt;height:25.3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4">
                <wp:simplePos x="0" y="0"/>
                <wp:positionH relativeFrom="column">
                  <wp:posOffset>4818380</wp:posOffset>
                </wp:positionH>
                <wp:positionV relativeFrom="paragraph">
                  <wp:posOffset>44450</wp:posOffset>
                </wp:positionV>
                <wp:extent cx="1905" cy="288925"/>
                <wp:effectExtent l="0" t="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28836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379.4pt;margin-top:3.5pt;width:0.05pt;height:22.65pt" type="shapetype_64">
                <w10:wrap type="none"/>
                <v:fill type="solid" color2="black" o:detectmouseclick="t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3">
                <wp:simplePos x="0" y="0"/>
                <wp:positionH relativeFrom="column">
                  <wp:posOffset>5510530</wp:posOffset>
                </wp:positionH>
                <wp:positionV relativeFrom="paragraph">
                  <wp:posOffset>356235</wp:posOffset>
                </wp:positionV>
                <wp:extent cx="1129665" cy="890905"/>
                <wp:effectExtent l="0" t="0" r="17145" b="17145"/>
                <wp:wrapNone/>
                <wp:docPr id="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960" cy="890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100000">
                              <a:srgbClr val="eafaf7"/>
                            </a:gs>
                          </a:gsLst>
                          <a:lin ang="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ЈАВНО ПРАВОБРА- НИЛАШТВО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5,010.000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afaf7" stroked="t" style="position:absolute;margin-left:433.9pt;margin-top:28.05pt;width:88.85pt;height:70.05pt">
                <w10:wrap type="square"/>
                <v:fill color2="#5fe7d5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>
                          <w:lang w:val="sr-CS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ЈАВНО ПРАВОБРА- НИЛАШТВО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5,010.000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6">
                <wp:simplePos x="0" y="0"/>
                <wp:positionH relativeFrom="column">
                  <wp:posOffset>6070600</wp:posOffset>
                </wp:positionH>
                <wp:positionV relativeFrom="paragraph">
                  <wp:posOffset>10795</wp:posOffset>
                </wp:positionV>
                <wp:extent cx="1905" cy="346710"/>
                <wp:effectExtent l="0" t="0" r="0" b="0"/>
                <wp:wrapNone/>
                <wp:docPr id="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345960"/>
                        </a:xfrm>
                        <a:prstGeom prst="wave">
                          <a:avLst>
                            <a:gd name="adj1" fmla="val 1400"/>
                            <a:gd name="adj2" fmla="val 108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ba8b4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478pt;margin-top:0.85pt;width:0.05pt;height:27.2pt" type="shapetype_64">
                <w10:wrap type="none"/>
                <v:fill type="solid" color2="black" o:detectmouseclick="t"/>
                <v:stroke color="#ba8b46" weight="12600" joinstyle="round" endcap="flat"/>
              </v:shape>
            </w:pict>
          </mc:Fallback>
        </mc:AlternateContent>
      </w:r>
    </w:p>
    <w:p>
      <w:pPr>
        <w:pStyle w:val="Normal"/>
        <w:tabs>
          <w:tab w:val="left" w:pos="8549" w:leader="none"/>
        </w:tabs>
        <w:rPr>
          <w:rFonts w:ascii="Times New Roman" w:hAnsi="Times New Roman" w:cs="Times New Roman"/>
          <w:sz w:val="28"/>
          <w:szCs w:val="28"/>
          <w:lang w:val="sr-CS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0">
                <wp:simplePos x="0" y="0"/>
                <wp:positionH relativeFrom="column">
                  <wp:posOffset>4315460</wp:posOffset>
                </wp:positionH>
                <wp:positionV relativeFrom="paragraph">
                  <wp:posOffset>17780</wp:posOffset>
                </wp:positionV>
                <wp:extent cx="1129665" cy="890905"/>
                <wp:effectExtent l="0" t="0" r="17145" b="17145"/>
                <wp:wrapNone/>
                <wp:docPr id="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960" cy="8902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ОПШТИНСКА УПРАВА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sr-CS"/>
                              </w:rPr>
                              <w:t>295,215.000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9.8pt;margin-top:1.4pt;width:88.85pt;height:70.0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lang w:val="sr-CS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ОПШТИНСКА УПРАВА</w:t>
                      </w:r>
                    </w:p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sr-CS"/>
                        </w:rPr>
                        <w:t>295,215.000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sr-CS"/>
        </w:rPr>
        <w:tab/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46">
                <wp:simplePos x="0" y="0"/>
                <wp:positionH relativeFrom="column">
                  <wp:posOffset>-330200</wp:posOffset>
                </wp:positionH>
                <wp:positionV relativeFrom="paragraph">
                  <wp:posOffset>102235</wp:posOffset>
                </wp:positionV>
                <wp:extent cx="1186815" cy="560705"/>
                <wp:effectExtent l="0" t="0" r="17145" b="17145"/>
                <wp:wrapNone/>
                <wp:docPr id="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00" cy="5601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94efe3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Зараде функционера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8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13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94efe3" stroked="t" style="position:absolute;margin-left:-26pt;margin-top:8.05pt;width:93.35pt;height:44.05pt">
                <w10:wrap type="square"/>
                <v:fill color2="white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Зараде функционера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8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13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9">
                <wp:simplePos x="0" y="0"/>
                <wp:positionH relativeFrom="column">
                  <wp:posOffset>963295</wp:posOffset>
                </wp:positionH>
                <wp:positionV relativeFrom="paragraph">
                  <wp:posOffset>102235</wp:posOffset>
                </wp:positionV>
                <wp:extent cx="1178560" cy="486410"/>
                <wp:effectExtent l="0" t="0" r="17145" b="17145"/>
                <wp:wrapNone/>
                <wp:docPr id="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0" cy="4856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Рад чланова већа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3,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4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00.000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75.85pt;margin-top:8.05pt;width:92.7pt;height:38.2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Рад чланова већа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3,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4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00.000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2">
                <wp:simplePos x="0" y="0"/>
                <wp:positionH relativeFrom="column">
                  <wp:posOffset>2701290</wp:posOffset>
                </wp:positionH>
                <wp:positionV relativeFrom="paragraph">
                  <wp:posOffset>102235</wp:posOffset>
                </wp:positionV>
                <wp:extent cx="1294130" cy="560705"/>
                <wp:effectExtent l="0" t="0" r="17145" b="17145"/>
                <wp:wrapNone/>
                <wp:docPr id="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80" cy="5601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Информисање и промоција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400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.000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212.7pt;margin-top:8.05pt;width:101.8pt;height:44.0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Информисање и промоција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2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400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.000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2">
                <wp:simplePos x="0" y="0"/>
                <wp:positionH relativeFrom="column">
                  <wp:posOffset>4192905</wp:posOffset>
                </wp:positionH>
                <wp:positionV relativeFrom="paragraph">
                  <wp:posOffset>52705</wp:posOffset>
                </wp:positionV>
                <wp:extent cx="1318260" cy="395605"/>
                <wp:effectExtent l="0" t="0" r="17145" b="17145"/>
                <wp:wrapNone/>
                <wp:docPr id="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00" cy="3949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Трошкови запослених 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106,750.000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0.15pt;margin-top:4.15pt;width:103.7pt;height:31.0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Трошкови запослених 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106,750.000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3">
                <wp:simplePos x="0" y="0"/>
                <wp:positionH relativeFrom="column">
                  <wp:posOffset>5593715</wp:posOffset>
                </wp:positionH>
                <wp:positionV relativeFrom="paragraph">
                  <wp:posOffset>102235</wp:posOffset>
                </wp:positionV>
                <wp:extent cx="1129030" cy="560705"/>
                <wp:effectExtent l="0" t="0" r="17145" b="17145"/>
                <wp:wrapNone/>
                <wp:docPr id="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240" cy="5601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ab39f"/>
                            </a:gs>
                            <a:gs pos="100000">
                              <a:srgbClr val="e7f2ef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Трошкови запослених 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3,670.000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2ef" stroked="f" style="position:absolute;margin-left:440.45pt;margin-top:8.05pt;width:88.8pt;height:44.05pt">
                <w10:wrap type="square"/>
                <v:fill color2="#1ab39f" o:detectmouseclick="t"/>
                <v:stroke color="#3465a4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Трошкови запослених 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3,670.000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47">
                <wp:simplePos x="0" y="0"/>
                <wp:positionH relativeFrom="column">
                  <wp:posOffset>-330200</wp:posOffset>
                </wp:positionH>
                <wp:positionV relativeFrom="paragraph">
                  <wp:posOffset>357505</wp:posOffset>
                </wp:positionV>
                <wp:extent cx="1186815" cy="387985"/>
                <wp:effectExtent l="0" t="0" r="17145" b="17145"/>
                <wp:wrapNone/>
                <wp:docPr id="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00" cy="387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94efe3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Материјални трошкови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150.000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94efe3" stroked="t" style="position:absolute;margin-left:-26pt;margin-top:28.15pt;width:93.35pt;height:30.45pt">
                <w10:wrap type="square"/>
                <v:fill color2="white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 xml:space="preserve">Материјални трошкови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150.000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6">
                <wp:simplePos x="0" y="0"/>
                <wp:positionH relativeFrom="column">
                  <wp:posOffset>4192905</wp:posOffset>
                </wp:positionH>
                <wp:positionV relativeFrom="paragraph">
                  <wp:posOffset>226060</wp:posOffset>
                </wp:positionV>
                <wp:extent cx="1318260" cy="445135"/>
                <wp:effectExtent l="0" t="0" r="17145" b="17145"/>
                <wp:wrapNone/>
                <wp:docPr id="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00" cy="444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Материјални трошкови  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8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315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0.15pt;margin-top:17.8pt;width:103.7pt;height:34.9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Материјални трошкови  5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8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315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.000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50">
                <wp:simplePos x="0" y="0"/>
                <wp:positionH relativeFrom="column">
                  <wp:posOffset>963295</wp:posOffset>
                </wp:positionH>
                <wp:positionV relativeFrom="paragraph">
                  <wp:posOffset>90170</wp:posOffset>
                </wp:positionV>
                <wp:extent cx="1178560" cy="417195"/>
                <wp:effectExtent l="0" t="0" r="17145" b="17145"/>
                <wp:wrapNone/>
                <wp:docPr id="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0" cy="416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Промоција општине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920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.000</w:t>
                            </w:r>
                          </w:p>
                          <w:p>
                            <w:pPr>
                              <w:pStyle w:val="FrameContents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1,360.000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75.85pt;margin-top:7.1pt;width:92.7pt;height:32.7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Промоција општине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920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.000</w:t>
                      </w:r>
                    </w:p>
                    <w:p>
                      <w:pPr>
                        <w:pStyle w:val="FrameContents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1,360.000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3">
                <wp:simplePos x="0" y="0"/>
                <wp:positionH relativeFrom="column">
                  <wp:posOffset>2701290</wp:posOffset>
                </wp:positionH>
                <wp:positionV relativeFrom="paragraph">
                  <wp:posOffset>12065</wp:posOffset>
                </wp:positionV>
                <wp:extent cx="1294130" cy="371475"/>
                <wp:effectExtent l="0" t="0" r="17145" b="17145"/>
                <wp:wrapNone/>
                <wp:docPr id="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80" cy="370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1ab39f"/>
                            </a:gs>
                            <a:gs pos="100000">
                              <a:srgbClr val="5fe7d5"/>
                            </a:gs>
                          </a:gsLst>
                          <a:lin ang="162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Накнаде  одборника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1,100.000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212.7pt;margin-top:0.95pt;width:101.8pt;height:29.15pt">
                <w10:wrap type="square"/>
                <v:fill color2="#1ab39f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Накнаде  одборника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1,100.000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4">
                <wp:simplePos x="0" y="0"/>
                <wp:positionH relativeFrom="column">
                  <wp:posOffset>5593715</wp:posOffset>
                </wp:positionH>
                <wp:positionV relativeFrom="paragraph">
                  <wp:posOffset>90170</wp:posOffset>
                </wp:positionV>
                <wp:extent cx="1129030" cy="560705"/>
                <wp:effectExtent l="0" t="0" r="17145" b="17145"/>
                <wp:wrapNone/>
                <wp:docPr id="1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240" cy="5601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ab39f"/>
                            </a:gs>
                            <a:gs pos="100000">
                              <a:srgbClr val="e7f2ef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Трошкови путовања 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50.000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2ef" stroked="f" style="position:absolute;margin-left:440.45pt;margin-top:7.1pt;width:88.8pt;height:44.05pt">
                <w10:wrap type="square"/>
                <v:fill color2="#1ab39f" o:detectmouseclick="t"/>
                <v:stroke color="#3465a4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Трошкови путовања 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50.000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48">
                <wp:simplePos x="0" y="0"/>
                <wp:positionH relativeFrom="column">
                  <wp:posOffset>-330200</wp:posOffset>
                </wp:positionH>
                <wp:positionV relativeFrom="paragraph">
                  <wp:posOffset>111760</wp:posOffset>
                </wp:positionV>
                <wp:extent cx="1186815" cy="523240"/>
                <wp:effectExtent l="0" t="0" r="17145" b="17145"/>
                <wp:wrapNone/>
                <wp:docPr id="1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00" cy="5227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94efe3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6"/>
                                <w:szCs w:val="16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sr-CS"/>
                              </w:rPr>
                              <w:t>Промоција општине и информисање</w:t>
                            </w:r>
                          </w:p>
                          <w:p>
                            <w:pPr>
                              <w:pStyle w:val="FrameContents"/>
                              <w:rPr>
                                <w:sz w:val="16"/>
                                <w:szCs w:val="16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sr-RS"/>
                              </w:rPr>
                              <w:t>2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sr-RS"/>
                              </w:rPr>
                              <w:t>100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  <w:lang w:val="sr-CS"/>
                              </w:rPr>
                              <w:t>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600.000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94efe3" stroked="t" style="position:absolute;margin-left:-26pt;margin-top:8.8pt;width:93.35pt;height:41.1pt">
                <w10:wrap type="square"/>
                <v:fill color2="white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6"/>
                          <w:szCs w:val="16"/>
                          <w:lang w:val="sr-CS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sr-CS"/>
                        </w:rPr>
                        <w:t>Промоција општине и информисање</w:t>
                      </w:r>
                    </w:p>
                    <w:p>
                      <w:pPr>
                        <w:pStyle w:val="FrameContents"/>
                        <w:rPr>
                          <w:sz w:val="16"/>
                          <w:szCs w:val="16"/>
                          <w:lang w:val="sr-CS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  <w:lang w:val="sr-RS"/>
                        </w:rPr>
                        <w:t>2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color w:val="auto"/>
                          <w:sz w:val="16"/>
                          <w:szCs w:val="16"/>
                          <w:lang w:val="sr-RS"/>
                        </w:rPr>
                        <w:t>100</w:t>
                      </w:r>
                      <w:r>
                        <w:rPr>
                          <w:color w:val="auto"/>
                          <w:sz w:val="16"/>
                          <w:szCs w:val="16"/>
                          <w:lang w:val="sr-CS"/>
                        </w:rPr>
                        <w:t>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600.000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1">
                <wp:simplePos x="0" y="0"/>
                <wp:positionH relativeFrom="column">
                  <wp:posOffset>963295</wp:posOffset>
                </wp:positionH>
                <wp:positionV relativeFrom="paragraph">
                  <wp:posOffset>226695</wp:posOffset>
                </wp:positionV>
                <wp:extent cx="1178560" cy="239395"/>
                <wp:effectExtent l="0" t="0" r="17145" b="17145"/>
                <wp:wrapNone/>
                <wp:docPr id="1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0" cy="238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Путовања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50.000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75.85pt;margin-top:17.85pt;width:92.7pt;height:18.7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Путовања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1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50.000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4">
                <wp:simplePos x="0" y="0"/>
                <wp:positionH relativeFrom="column">
                  <wp:posOffset>2701290</wp:posOffset>
                </wp:positionH>
                <wp:positionV relativeFrom="paragraph">
                  <wp:posOffset>144780</wp:posOffset>
                </wp:positionV>
                <wp:extent cx="1294130" cy="429260"/>
                <wp:effectExtent l="0" t="0" r="17145" b="17145"/>
                <wp:wrapNone/>
                <wp:docPr id="1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80" cy="4287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1ab39f"/>
                            </a:gs>
                            <a:gs pos="100000">
                              <a:srgbClr val="5fe7d5"/>
                            </a:gs>
                          </a:gsLst>
                          <a:lin ang="162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Материјални трошкови 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340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.000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212.7pt;margin-top:11.4pt;width:101.8pt;height:33.7pt">
                <w10:wrap type="square"/>
                <v:fill color2="#1ab39f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Материјални трошкови 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340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.000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9">
                <wp:simplePos x="0" y="0"/>
                <wp:positionH relativeFrom="column">
                  <wp:posOffset>4192905</wp:posOffset>
                </wp:positionH>
                <wp:positionV relativeFrom="paragraph">
                  <wp:posOffset>20955</wp:posOffset>
                </wp:positionV>
                <wp:extent cx="1318260" cy="696595"/>
                <wp:effectExtent l="0" t="0" r="17145" b="17145"/>
                <wp:wrapNone/>
                <wp:docPr id="1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00" cy="6958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Накнаде штета, судских извршења, такси и пенала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13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95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0.15pt;margin-top:1.65pt;width:103.7pt;height:54.7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Накнаде штета, судских извршења, такси и пенала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13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95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0.000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56">
                <wp:simplePos x="0" y="0"/>
                <wp:positionH relativeFrom="column">
                  <wp:posOffset>963295</wp:posOffset>
                </wp:positionH>
                <wp:positionV relativeFrom="paragraph">
                  <wp:posOffset>211455</wp:posOffset>
                </wp:positionV>
                <wp:extent cx="1178560" cy="366395"/>
                <wp:effectExtent l="0" t="0" r="17145" b="17145"/>
                <wp:wrapNone/>
                <wp:docPr id="1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0" cy="3657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Мобилни телефони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2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75.85pt;margin-top:16.65pt;width:92.7pt;height:28.7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Мобилни телефони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2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9">
                <wp:simplePos x="0" y="0"/>
                <wp:positionH relativeFrom="column">
                  <wp:posOffset>2701290</wp:posOffset>
                </wp:positionH>
                <wp:positionV relativeFrom="paragraph">
                  <wp:posOffset>354965</wp:posOffset>
                </wp:positionV>
                <wp:extent cx="1294130" cy="421005"/>
                <wp:effectExtent l="0" t="0" r="17145" b="17145"/>
                <wp:wrapNone/>
                <wp:docPr id="1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80" cy="4204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1ab39f"/>
                            </a:gs>
                            <a:gs pos="100000">
                              <a:srgbClr val="5fe7d5"/>
                            </a:gs>
                          </a:gsLst>
                          <a:lin ang="162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Политичке партије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9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212.7pt;margin-top:27.95pt;width:101.8pt;height:33.05pt">
                <w10:wrap type="square"/>
                <v:fill color2="#1ab39f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Политичке партије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5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9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0">
                <wp:simplePos x="0" y="0"/>
                <wp:positionH relativeFrom="column">
                  <wp:posOffset>5593715</wp:posOffset>
                </wp:positionH>
                <wp:positionV relativeFrom="paragraph">
                  <wp:posOffset>103505</wp:posOffset>
                </wp:positionV>
                <wp:extent cx="1129030" cy="548005"/>
                <wp:effectExtent l="0" t="0" r="17145" b="17145"/>
                <wp:wrapNone/>
                <wp:docPr id="1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240" cy="54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ab39f"/>
                            </a:gs>
                            <a:gs pos="100000">
                              <a:srgbClr val="e7f2ef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Материјални трошкови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1,260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900.000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2ef" stroked="f" style="position:absolute;margin-left:440.45pt;margin-top:8.15pt;width:88.8pt;height:43.05pt">
                <w10:wrap type="square"/>
                <v:fill color2="#1ab39f" o:detectmouseclick="t"/>
                <v:stroke color="#3465a4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Материјални трошкови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1,260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900.000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column">
                  <wp:posOffset>-280670</wp:posOffset>
                </wp:positionH>
                <wp:positionV relativeFrom="paragraph">
                  <wp:posOffset>9525</wp:posOffset>
                </wp:positionV>
                <wp:extent cx="1186815" cy="404495"/>
                <wp:effectExtent l="0" t="0" r="17145" b="17145"/>
                <wp:wrapNone/>
                <wp:docPr id="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00" cy="4039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94efe3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Трошкови путовања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15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94efe3" stroked="t" style="position:absolute;margin-left:-22.1pt;margin-top:0.75pt;width:93.35pt;height:31.75pt">
                <w10:wrap type="square"/>
                <v:fill color2="white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Трошкови путовања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15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7">
                <wp:simplePos x="0" y="0"/>
                <wp:positionH relativeFrom="column">
                  <wp:posOffset>963295</wp:posOffset>
                </wp:positionH>
                <wp:positionV relativeFrom="paragraph">
                  <wp:posOffset>288925</wp:posOffset>
                </wp:positionV>
                <wp:extent cx="1178560" cy="404495"/>
                <wp:effectExtent l="0" t="0" r="17145" b="17145"/>
                <wp:wrapNone/>
                <wp:docPr id="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0" cy="4039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информисање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8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75.85pt;margin-top:22.75pt;width:92.7pt;height:31.7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>информисање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8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1">
                <wp:simplePos x="0" y="0"/>
                <wp:positionH relativeFrom="column">
                  <wp:posOffset>4192905</wp:posOffset>
                </wp:positionH>
                <wp:positionV relativeFrom="paragraph">
                  <wp:posOffset>136525</wp:posOffset>
                </wp:positionV>
                <wp:extent cx="1318260" cy="556895"/>
                <wp:effectExtent l="0" t="0" r="17145" b="17145"/>
                <wp:wrapNone/>
                <wp:docPr id="1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00" cy="556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Инвестиције у објекте, земљиште и опрему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15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1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00.000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0.15pt;margin-top:10.75pt;width:103.7pt;height:43.7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Инвестиције у објекте, земљиште и опрему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15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1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00.000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60">
                <wp:simplePos x="0" y="0"/>
                <wp:positionH relativeFrom="column">
                  <wp:posOffset>2701290</wp:posOffset>
                </wp:positionH>
                <wp:positionV relativeFrom="paragraph">
                  <wp:posOffset>158115</wp:posOffset>
                </wp:positionV>
                <wp:extent cx="1294130" cy="363220"/>
                <wp:effectExtent l="0" t="0" r="17145" b="17145"/>
                <wp:wrapNone/>
                <wp:docPr id="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80" cy="362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1ab39f"/>
                            </a:gs>
                            <a:gs pos="100000">
                              <a:srgbClr val="5fe7d5"/>
                            </a:gs>
                          </a:gsLst>
                          <a:lin ang="162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Плате функционера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7,880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212.7pt;margin-top:12.45pt;width:101.8pt;height:28.5pt">
                <w10:wrap type="square"/>
                <v:fill color2="#1ab39f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Плате функционера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7,880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9">
                <wp:simplePos x="0" y="0"/>
                <wp:positionH relativeFrom="column">
                  <wp:posOffset>-330200</wp:posOffset>
                </wp:positionH>
                <wp:positionV relativeFrom="paragraph">
                  <wp:posOffset>206375</wp:posOffset>
                </wp:positionV>
                <wp:extent cx="1178560" cy="366395"/>
                <wp:effectExtent l="0" t="0" r="17145" b="17145"/>
                <wp:wrapNone/>
                <wp:docPr id="1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0" cy="3657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Мобилни телефони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150.000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-26pt;margin-top:16.25pt;width:92.7pt;height:28.7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Мобилни телефони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150.000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0">
                <wp:simplePos x="0" y="0"/>
                <wp:positionH relativeFrom="column">
                  <wp:posOffset>5593715</wp:posOffset>
                </wp:positionH>
                <wp:positionV relativeFrom="paragraph">
                  <wp:posOffset>50800</wp:posOffset>
                </wp:positionV>
                <wp:extent cx="1178560" cy="366395"/>
                <wp:effectExtent l="0" t="0" r="17145" b="17145"/>
                <wp:wrapNone/>
                <wp:docPr id="1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0" cy="3657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Мобилни телефони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30.000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440.45pt;margin-top:4pt;width:92.7pt;height:28.7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Мобилни телефони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30.000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sr-CS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58">
                <wp:simplePos x="0" y="0"/>
                <wp:positionH relativeFrom="column">
                  <wp:posOffset>963295</wp:posOffset>
                </wp:positionH>
                <wp:positionV relativeFrom="paragraph">
                  <wp:posOffset>80645</wp:posOffset>
                </wp:positionV>
                <wp:extent cx="1178560" cy="371475"/>
                <wp:effectExtent l="0" t="0" r="17145" b="17145"/>
                <wp:wrapNone/>
                <wp:docPr id="1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0" cy="370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c9f7f1"/>
                            </a:gs>
                            <a:gs pos="100000">
                              <a:srgbClr val="5fe7d5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Материјални трошкови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13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75.85pt;margin-top:6.35pt;width:92.7pt;height:29.15pt">
                <w10:wrap type="square"/>
                <v:fill color2="#c9f7f1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Материјални трошкови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13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1">
                <wp:simplePos x="0" y="0"/>
                <wp:positionH relativeFrom="column">
                  <wp:posOffset>2701290</wp:posOffset>
                </wp:positionH>
                <wp:positionV relativeFrom="paragraph">
                  <wp:posOffset>253365</wp:posOffset>
                </wp:positionV>
                <wp:extent cx="1294130" cy="387350"/>
                <wp:effectExtent l="0" t="0" r="17145" b="17145"/>
                <wp:wrapNone/>
                <wp:docPr id="1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80" cy="3866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1ab39f"/>
                            </a:gs>
                            <a:gs pos="100000">
                              <a:srgbClr val="5fe7d5"/>
                            </a:gs>
                          </a:gsLst>
                          <a:lin ang="162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Трошкови путовања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80.000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212.7pt;margin-top:19.95pt;width:101.8pt;height:30.4pt">
                <w10:wrap type="square"/>
                <v:fill color2="#1ab39f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Трошкови путовања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80.000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4">
                <wp:simplePos x="0" y="0"/>
                <wp:positionH relativeFrom="column">
                  <wp:posOffset>4192905</wp:posOffset>
                </wp:positionH>
                <wp:positionV relativeFrom="paragraph">
                  <wp:posOffset>80645</wp:posOffset>
                </wp:positionV>
                <wp:extent cx="1318260" cy="541020"/>
                <wp:effectExtent l="0" t="0" r="17145" b="17145"/>
                <wp:wrapNone/>
                <wp:docPr id="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00" cy="540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Урбанизам и просторно планирање  1,000.000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0.15pt;margin-top:6.35pt;width:103.7pt;height:42.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Урбанизам и просторно планирање  1,000.000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3">
                <wp:simplePos x="0" y="0"/>
                <wp:positionH relativeFrom="column">
                  <wp:posOffset>-330200</wp:posOffset>
                </wp:positionH>
                <wp:positionV relativeFrom="paragraph">
                  <wp:posOffset>351790</wp:posOffset>
                </wp:positionV>
                <wp:extent cx="1186815" cy="433070"/>
                <wp:effectExtent l="0" t="0" r="17145" b="17145"/>
                <wp:wrapNone/>
                <wp:docPr id="1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00" cy="432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94efe3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5fe7d5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R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Накнада за ппп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1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0.000</w:t>
                            </w:r>
                          </w:p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94efe3" stroked="t" style="position:absolute;margin-left:-26pt;margin-top:27.7pt;width:93.35pt;height:34pt">
                <w10:wrap type="square"/>
                <v:fill color2="white" o:detectmouseclick="t"/>
                <v:stroke color="#5fe7d5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R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Накнада за ппп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1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5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0.000</w:t>
                      </w:r>
                    </w:p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sr-CS"/>
        </w:rPr>
        <w:t xml:space="preserve">                     </w:t>
      </w:r>
    </w:p>
    <w:p>
      <w:pPr>
        <w:pStyle w:val="Normal"/>
        <w:rPr>
          <w:rFonts w:cs="Calibri" w:cstheme="minorHAnsi"/>
          <w:sz w:val="18"/>
          <w:szCs w:val="18"/>
          <w:lang w:val="sr-CS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8">
                <wp:simplePos x="0" y="0"/>
                <wp:positionH relativeFrom="column">
                  <wp:posOffset>963295</wp:posOffset>
                </wp:positionH>
                <wp:positionV relativeFrom="paragraph">
                  <wp:posOffset>278130</wp:posOffset>
                </wp:positionV>
                <wp:extent cx="1228090" cy="421640"/>
                <wp:effectExtent l="0" t="0" r="17145" b="17145"/>
                <wp:wrapNone/>
                <wp:docPr id="1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4208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1ab39f"/>
                            </a:gs>
                            <a:gs pos="100000">
                              <a:srgbClr val="5fe7d5"/>
                            </a:gs>
                          </a:gsLst>
                          <a:lin ang="162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sz w:val="18"/>
                                <w:szCs w:val="18"/>
                                <w:lang w:val="sr-CS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Плате функционера</w:t>
                            </w:r>
                          </w:p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2,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Latn-RS"/>
                              </w:rPr>
                              <w:t>490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>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75.85pt;margin-top:21.9pt;width:96.6pt;height:33.1pt">
                <w10:wrap type="square"/>
                <v:fill color2="#1ab39f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sz w:val="18"/>
                          <w:szCs w:val="18"/>
                          <w:lang w:val="sr-CS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Плате функционера</w:t>
                      </w:r>
                    </w:p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2,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Latn-RS"/>
                        </w:rPr>
                        <w:t>490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>.000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sr-CS"/>
        </w:rPr>
        <w:t xml:space="preserve">                              </w:t>
      </w:r>
    </w:p>
    <w:p>
      <w:pPr>
        <w:pStyle w:val="Normal"/>
        <w:tabs>
          <w:tab w:val="left" w:pos="4476" w:leader="none"/>
        </w:tabs>
        <w:rPr>
          <w:rFonts w:ascii="Times New Roman" w:hAnsi="Times New Roman" w:cs="Times New Roman"/>
          <w:sz w:val="28"/>
          <w:szCs w:val="28"/>
          <w:lang w:val="sr-CS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2">
                <wp:simplePos x="0" y="0"/>
                <wp:positionH relativeFrom="column">
                  <wp:posOffset>4192905</wp:posOffset>
                </wp:positionH>
                <wp:positionV relativeFrom="paragraph">
                  <wp:posOffset>48895</wp:posOffset>
                </wp:positionV>
                <wp:extent cx="1318260" cy="424815"/>
                <wp:effectExtent l="0" t="0" r="17145" b="17145"/>
                <wp:wrapNone/>
                <wp:docPr id="1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00" cy="424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Енергетска ефикасност  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37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RS"/>
                              </w:rPr>
                              <w:t>95</w:t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>0.000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0.15pt;margin-top:3.85pt;width:103.7pt;height:33.3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Енергетска ефикасност  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37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auto"/>
                          <w:sz w:val="18"/>
                          <w:szCs w:val="18"/>
                          <w:lang w:val="sr-RS"/>
                        </w:rPr>
                        <w:t>95</w:t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>0.000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7">
                <wp:simplePos x="0" y="0"/>
                <wp:positionH relativeFrom="column">
                  <wp:posOffset>2701290</wp:posOffset>
                </wp:positionH>
                <wp:positionV relativeFrom="paragraph">
                  <wp:posOffset>86360</wp:posOffset>
                </wp:positionV>
                <wp:extent cx="1294130" cy="387350"/>
                <wp:effectExtent l="0" t="0" r="17145" b="17145"/>
                <wp:wrapNone/>
                <wp:docPr id="1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80" cy="3866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5fe7d5"/>
                            </a:gs>
                            <a:gs pos="50000">
                              <a:srgbClr val="1ab39f"/>
                            </a:gs>
                            <a:gs pos="100000">
                              <a:srgbClr val="5fe7d5"/>
                            </a:gs>
                          </a:gsLst>
                          <a:lin ang="162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Мобилни телефони 100.000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5fe7d5" stroked="t" style="position:absolute;margin-left:212.7pt;margin-top:6.8pt;width:101.8pt;height:30.4pt">
                <w10:wrap type="square"/>
                <v:fill color2="#1ab39f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Мобилни телефони 100.000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sr-CS"/>
        </w:rPr>
        <w:tab/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81">
                <wp:simplePos x="0" y="0"/>
                <wp:positionH relativeFrom="column">
                  <wp:posOffset>4192905</wp:posOffset>
                </wp:positionH>
                <wp:positionV relativeFrom="paragraph">
                  <wp:posOffset>170180</wp:posOffset>
                </wp:positionV>
                <wp:extent cx="1318260" cy="470535"/>
                <wp:effectExtent l="0" t="0" r="17145" b="17145"/>
                <wp:wrapNone/>
                <wp:docPr id="1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00" cy="469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Сервисирање јавног дуга 36.350.000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0.15pt;margin-top:13.4pt;width:103.7pt;height:36.9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Сервисирање јавног дуга 36.350.000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mc:AlternateContent>
          <mc:Choice Requires="wps">
            <w:drawing>
              <wp:anchor behindDoc="0" distT="0" distB="0" distL="114300" distR="114300" simplePos="0" locked="0" layoutInCell="1" allowOverlap="1" relativeHeight="82">
                <wp:simplePos x="0" y="0"/>
                <wp:positionH relativeFrom="column">
                  <wp:posOffset>4192905</wp:posOffset>
                </wp:positionH>
                <wp:positionV relativeFrom="paragraph">
                  <wp:posOffset>118745</wp:posOffset>
                </wp:positionV>
                <wp:extent cx="1318260" cy="502920"/>
                <wp:effectExtent l="0" t="0" r="17145" b="17145"/>
                <wp:wrapNone/>
                <wp:docPr id="1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00" cy="502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dbda6"/>
                            </a:gs>
                            <a:gs pos="100000">
                              <a:srgbClr val="e7f3f0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1ab39f"/>
                          </a:solidFill>
                          <a:round/>
                        </a:ln>
                        <a:effectLst>
                          <a:outerShdw dir="2700000" dist="24130">
                            <a:srgbClr val="0d594e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  <w:lang w:val="sr-CS"/>
                              </w:rPr>
                              <w:t xml:space="preserve">Средства резерве 25.800.000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e7f3f0" stroked="t" style="position:absolute;margin-left:330.15pt;margin-top:9.35pt;width:103.7pt;height:39.5pt">
                <w10:wrap type="square"/>
                <v:fill color2="#1dbda6" o:detectmouseclick="t"/>
                <v:stroke color="#1ab39f" weight="12600" joinstyle="round" endcap="flat"/>
                <v:shadow on="t" obscured="f" color="#0d594e"/>
                <v:textbox>
                  <w:txbxContent>
                    <w:p>
                      <w:pPr>
                        <w:pStyle w:val="FrameContents"/>
                        <w:spacing w:before="0" w:after="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  <w:lang w:val="sr-CS"/>
                        </w:rPr>
                        <w:t xml:space="preserve">Средства резерве 25.800.000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  <w:t>Слика 11.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>5.1.3.  ЕКОНОМСКИ ПОСЛОВИ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  <w:lang w:val="sr-CS"/>
        </w:rPr>
      </w:pPr>
      <w:r>
        <w:rPr>
          <w:rFonts w:cs="Times New Roman" w:ascii="Times New Roman" w:hAnsi="Times New Roman"/>
          <w:sz w:val="28"/>
          <w:szCs w:val="28"/>
          <w:lang w:val="sr-CS"/>
        </w:rPr>
        <w:t>Ову групу послова, у смислу функционалне класификације у складу са важећом законском регулативом у области јавних финансија, чине, између осталих, друмски саобраћај, туризам и пољопривреда. Ови видови економских послова, чине једну од окосница политике развоја Општине и као такви су финансирани средствима буџета Општине Владичин Хан.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  <w:t>Слика 12.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  <w:lang w:val="sr-CS"/>
        </w:rPr>
      </w:pPr>
      <w:r>
        <w:rPr/>
        <w:drawing>
          <wp:inline distT="0" distB="0" distL="0" distR="0">
            <wp:extent cx="5079365" cy="2571115"/>
            <wp:effectExtent l="0" t="0" r="0" b="0"/>
            <wp:docPr id="150" name="Diagram1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67">
                <wp:simplePos x="0" y="0"/>
                <wp:positionH relativeFrom="column">
                  <wp:posOffset>1902460</wp:posOffset>
                </wp:positionH>
                <wp:positionV relativeFrom="paragraph">
                  <wp:posOffset>1200785</wp:posOffset>
                </wp:positionV>
                <wp:extent cx="1219835" cy="535940"/>
                <wp:effectExtent l="0" t="0" r="17145" b="17145"/>
                <wp:wrapNone/>
                <wp:docPr id="1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20" cy="535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666666"/>
                          </a:solidFill>
                          <a:round/>
                        </a:ln>
                        <a:effectLst>
                          <a:outerShdw dir="2700000" dist="24130">
                            <a:srgbClr val="7f7f7f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ТУРИЗАМ </w:t>
                            </w:r>
                            <w:r>
                              <w:rPr>
                                <w:color w:val="FFFFFF" w:themeColor="background1"/>
                                <w:lang w:val="sr-RS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color w:val="FFFFFF" w:themeColor="background1"/>
                                <w:lang w:val="sr-RS"/>
                              </w:rPr>
                              <w:t>60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0.000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666666" stroked="t" style="position:absolute;margin-left:149.8pt;margin-top:94.55pt;width:95.95pt;height:42.1pt">
                <w10:wrap type="square"/>
                <v:fill color2="#cccccc" o:detectmouseclick="t"/>
                <v:stroke color="#666666" weight="12600" joinstyle="round" endcap="flat"/>
                <v:shadow on="t" obscured="f" color="#7f7f7f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ТУРИЗАМ </w:t>
                      </w:r>
                      <w:r>
                        <w:rPr>
                          <w:color w:val="FFFFFF" w:themeColor="background1"/>
                          <w:lang w:val="sr-RS"/>
                        </w:rPr>
                        <w:t>7</w:t>
                      </w:r>
                      <w:r>
                        <w:rPr>
                          <w:color w:val="FFFFFF" w:themeColor="background1"/>
                        </w:rPr>
                        <w:t>,</w:t>
                      </w:r>
                      <w:r>
                        <w:rPr>
                          <w:color w:val="FFFFFF" w:themeColor="background1"/>
                          <w:lang w:val="sr-RS"/>
                        </w:rPr>
                        <w:t>60</w:t>
                      </w:r>
                      <w:r>
                        <w:rPr>
                          <w:color w:val="FFFFFF" w:themeColor="background1"/>
                        </w:rPr>
                        <w:t xml:space="preserve">0.000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8">
                <wp:simplePos x="0" y="0"/>
                <wp:positionH relativeFrom="column">
                  <wp:posOffset>3393440</wp:posOffset>
                </wp:positionH>
                <wp:positionV relativeFrom="paragraph">
                  <wp:posOffset>1200785</wp:posOffset>
                </wp:positionV>
                <wp:extent cx="1623695" cy="605155"/>
                <wp:effectExtent l="0" t="0" r="17145" b="17145"/>
                <wp:wrapNone/>
                <wp:docPr id="1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240" cy="6044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/>
                        </a:gradFill>
                        <a:ln w="12600">
                          <a:solidFill>
                            <a:srgbClr val="666666"/>
                          </a:solidFill>
                          <a:round/>
                        </a:ln>
                        <a:effectLst>
                          <a:outerShdw dir="2700000" dist="24130">
                            <a:srgbClr val="7f7f7f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20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Туристичке манифестације и проширење сарадње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#666666" stroked="t" style="position:absolute;margin-left:267.2pt;margin-top:94.55pt;width:127.75pt;height:47.55pt">
                <w10:wrap type="square"/>
                <v:fill color2="#cccccc" o:detectmouseclick="t"/>
                <v:stroke color="#666666" weight="12600" joinstyle="round" endcap="flat"/>
                <v:shadow on="t" obscured="f" color="#7f7f7f"/>
                <v:textbox>
                  <w:txbxContent>
                    <w:p>
                      <w:pPr>
                        <w:pStyle w:val="FrameContents"/>
                        <w:spacing w:lineRule="auto" w:line="240" w:before="0" w:after="20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Туристичке манифестације и проширење сарадње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b/>
          <w:sz w:val="28"/>
          <w:szCs w:val="28"/>
          <w:lang w:val="sr-CS"/>
        </w:rPr>
        <w:t>Подстицаји за младе.</w:t>
      </w:r>
      <w:r>
        <w:rPr>
          <w:rFonts w:cs="Times New Roman" w:ascii="Times New Roman" w:hAnsi="Times New Roman"/>
          <w:sz w:val="24"/>
          <w:szCs w:val="24"/>
          <w:lang w:val="sr-CS"/>
        </w:rPr>
        <w:t>Општина Владичин Хан већ две године средствима ресорног министарства подстиче останак младих на селу субвенционисањем набавке сеоских кућа са окућницама.  Коначна одлука о осталим видовима субвенционисања пољопривредних газдинстава биће донета након усвајања Годишњег програма мера подршке за спровођење пољопривредне политике и политике руралног развоја Општине Владичин Хан.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cs="Times New Roman" w:ascii="Times New Roman" w:hAnsi="Times New Roman"/>
          <w:b/>
          <w:sz w:val="28"/>
          <w:szCs w:val="28"/>
          <w:lang w:val="sr-CS"/>
        </w:rPr>
        <w:t>Путна инфраструктура</w:t>
      </w:r>
      <w:r>
        <w:rPr>
          <w:rFonts w:cs="Times New Roman" w:ascii="Times New Roman" w:hAnsi="Times New Roman"/>
          <w:sz w:val="28"/>
          <w:szCs w:val="28"/>
          <w:lang w:val="sr-CS"/>
        </w:rPr>
        <w:t xml:space="preserve">. </w:t>
      </w:r>
      <w:r>
        <w:rPr>
          <w:rFonts w:cs="Times New Roman" w:ascii="Times New Roman" w:hAnsi="Times New Roman"/>
          <w:sz w:val="24"/>
          <w:szCs w:val="24"/>
          <w:lang w:val="sr-CS"/>
        </w:rPr>
        <w:t xml:space="preserve">Обзиром на велику површину Општине Владичин Хан, њену изразиту територијалну дисперзију кроз велики број месних заједница – њих </w:t>
      </w:r>
      <w:r>
        <w:rPr>
          <w:rFonts w:cs="Times New Roman" w:ascii="Times New Roman" w:hAnsi="Times New Roman"/>
          <w:color w:val="FF0000"/>
          <w:sz w:val="24"/>
          <w:szCs w:val="24"/>
          <w:lang w:val="sr-Latn-RS"/>
        </w:rPr>
        <w:t>45</w:t>
      </w:r>
      <w:r>
        <w:rPr>
          <w:rFonts w:cs="Times New Roman" w:ascii="Times New Roman" w:hAnsi="Times New Roman"/>
          <w:sz w:val="24"/>
          <w:szCs w:val="24"/>
          <w:lang w:val="sr-CS"/>
        </w:rPr>
        <w:t>, брдско планински карактер многих од њих и велику удаљеност од градског ткива, то се поправке постојећих путева и изградња нових путних праваца природно намећу као висока ставка у буџету Општине. Овим пословима односно њиховим свеобухватним плани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  <w:lang w:val="sr-CS"/>
        </w:rPr>
        <w:t xml:space="preserve">рањем као и организацијом њихове реализације бави се Одсек за инвестиције Општинске управе Владичин Хан. </w:t>
      </w:r>
      <w:r>
        <w:rPr>
          <w:rFonts w:cs="Times New Roman" w:ascii="Times New Roman" w:hAnsi="Times New Roman"/>
          <w:sz w:val="20"/>
          <w:szCs w:val="20"/>
          <w:lang w:val="sr-CS"/>
        </w:rPr>
        <w:t>Слика 14.</w:t>
      </w:r>
      <w:r>
        <w:rPr>
          <w:rFonts w:cs="Times New Roman" w:ascii="Times New Roman" w:hAnsi="Times New Roman"/>
          <w:sz w:val="24"/>
          <w:szCs w:val="24"/>
          <w:lang w:val="sr-CS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cs="Times New Roman" w:ascii="Times New Roman" w:hAnsi="Times New Roman"/>
          <w:sz w:val="24"/>
          <w:szCs w:val="24"/>
          <w:lang w:val="en-GB"/>
        </w:rPr>
        <w:t xml:space="preserve">   </w:t>
      </w:r>
      <w:r>
        <w:rPr>
          <w:rFonts w:cs="Times New Roman" w:ascii="Times New Roman" w:hAnsi="Times New Roman"/>
          <w:sz w:val="24"/>
          <w:szCs w:val="24"/>
          <w:lang w:val="en-GB"/>
        </w:rPr>
        <w:drawing>
          <wp:inline distT="0" distB="0" distL="0" distR="0">
            <wp:extent cx="3111500" cy="2148205"/>
            <wp:effectExtent l="0" t="0" r="0" b="0"/>
            <wp:docPr id="151" name="Picture 10" descr="мост вр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0" descr="мост врл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en-GB"/>
        </w:rPr>
        <w:drawing>
          <wp:inline distT="0" distB="0" distL="0" distR="0">
            <wp:extent cx="2987675" cy="2017395"/>
            <wp:effectExtent l="0" t="0" r="0" b="0"/>
            <wp:docPr id="152" name="Picture 23" descr="пут гарињ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23" descr="пут гарињ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</w:rPr>
        <w:t>Пл</w:t>
      </w:r>
      <w:r>
        <w:rPr>
          <w:rFonts w:cs="Times New Roman" w:ascii="Times New Roman" w:hAnsi="Times New Roman"/>
          <w:sz w:val="24"/>
          <w:szCs w:val="24"/>
          <w:lang w:val="sr-CS"/>
        </w:rPr>
        <w:t xml:space="preserve">аном јавних инвестиција као најзначајнији послови из овог сектора препознати су следећи: </w:t>
      </w:r>
      <w:r>
        <w:rPr>
          <w:rFonts w:cs="Times New Roman" w:ascii="Times New Roman" w:hAnsi="Times New Roman"/>
          <w:sz w:val="20"/>
          <w:szCs w:val="20"/>
          <w:lang w:val="sr-CS"/>
        </w:rPr>
        <w:t>(Слика 1</w:t>
      </w:r>
      <w:r>
        <w:rPr>
          <w:rFonts w:cs="Times New Roman" w:ascii="Times New Roman" w:hAnsi="Times New Roman"/>
          <w:sz w:val="20"/>
          <w:szCs w:val="20"/>
          <w:lang w:val="en-GB"/>
        </w:rPr>
        <w:t>5</w:t>
      </w:r>
      <w:r>
        <w:rPr>
          <w:rFonts w:cs="Times New Roman" w:ascii="Times New Roman" w:hAnsi="Times New Roman"/>
          <w:sz w:val="20"/>
          <w:szCs w:val="20"/>
          <w:lang w:val="sr-CS"/>
        </w:rPr>
        <w:t>.)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863590" cy="3799205"/>
            <wp:effectExtent l="0" t="0" r="0" b="0"/>
            <wp:docPr id="153" name="Diagram1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>5.1.4.  ЗАШТИТА И УНАПРЕЂЕЊЕ ЖИВОТНЕ СРЕДИНЕ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Реализација еколошке политике у најширем смислу, огледа се, посматрано по буџетским позицијама, однноси се на реализација пројекта за изградњу колектора и постројења за пречишћавање отпадних вода за Владичин Хан и Сурдулицу, контроле квалитета ваздуха. </w:t>
      </w:r>
      <w:r>
        <w:rPr>
          <w:rFonts w:cs="Times New Roman" w:ascii="Times New Roman" w:hAnsi="Times New Roman"/>
          <w:sz w:val="20"/>
          <w:szCs w:val="20"/>
          <w:lang w:val="sr-CS"/>
        </w:rPr>
        <w:t>Слика 16</w:t>
      </w:r>
      <w:r>
        <w:rPr>
          <w:rFonts w:cs="Times New Roman" w:ascii="Times New Roman" w:hAnsi="Times New Roman"/>
          <w:sz w:val="26"/>
          <w:szCs w:val="26"/>
          <w:lang w:val="sr-CS"/>
        </w:rPr>
        <w:t>.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/>
        <w:drawing>
          <wp:inline distT="0" distB="0" distL="0" distR="0">
            <wp:extent cx="1978025" cy="1697355"/>
            <wp:effectExtent l="0" t="0" r="0" b="0"/>
            <wp:docPr id="154" name="Picture 34" descr="kanalizacija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34" descr="kanalizacija_1007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8510" cy="1688465"/>
            <wp:effectExtent l="0" t="0" r="0" b="0"/>
            <wp:docPr id="155" name="Picture 21" descr="корита 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21" descr="корита рек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98980" cy="1687195"/>
            <wp:effectExtent l="0" t="0" r="0" b="0"/>
            <wp:docPr id="156" name="Picture 41" descr="зелен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41" descr="зеленио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0"/>
          <w:szCs w:val="20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Општина спроводи мере еколошке политике и кроз напоре на санацији и уређењу корита Јужне Мораве,</w:t>
      </w:r>
      <w:r>
        <w:rPr>
          <w:rFonts w:cs="Times New Roman" w:ascii="Times New Roman" w:hAnsi="Times New Roman"/>
          <w:sz w:val="26"/>
          <w:szCs w:val="26"/>
          <w:lang w:val="en-GB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кроз</w:t>
      </w:r>
      <w:r>
        <w:rPr>
          <w:rFonts w:cs="Times New Roman" w:ascii="Times New Roman" w:hAnsi="Times New Roman"/>
          <w:sz w:val="26"/>
          <w:szCs w:val="26"/>
          <w:lang w:val="sr-CS"/>
        </w:rPr>
        <w:t xml:space="preserve"> одржавање јавних зелених површина и одржавања чистоће на површинама јавне намене, повећањем површина под зеленилом и спровођењем дезинсекције и дератизације и уклањањем паса луталица са јавних површина</w:t>
      </w:r>
      <w:r>
        <w:rPr>
          <w:rFonts w:cs="Times New Roman" w:ascii="Times New Roman" w:hAnsi="Times New Roman"/>
          <w:sz w:val="20"/>
          <w:szCs w:val="20"/>
          <w:lang w:val="sr-CS"/>
        </w:rPr>
        <w:t xml:space="preserve">.     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0"/>
          <w:szCs w:val="20"/>
          <w:lang w:val="sr-CS"/>
        </w:rPr>
        <w:t>(Слика 17.)</w:t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/>
        <w:drawing>
          <wp:inline distT="0" distB="0" distL="0" distR="0">
            <wp:extent cx="6207125" cy="3057525"/>
            <wp:effectExtent l="0" t="0" r="0" b="0"/>
            <wp:docPr id="157" name="Diagram1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>5.1.5.  СТАНОВАЊЕ И ЗАЈЕДНИЦА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Послови становања и заједнице обухватају финансирање водоснабдевања, уличне расвете и развоја заједнице у најширем смислу, за њих је издвојено укупно 64,700,000 динара и  реализују се посредством три организациона облика који су билансирани Одлуком о буџету Општине Владичин Хан и то: </w:t>
      </w:r>
      <w:r>
        <w:rPr>
          <w:rFonts w:cs="Times New Roman" w:ascii="Times New Roman" w:hAnsi="Times New Roman"/>
          <w:sz w:val="20"/>
          <w:szCs w:val="20"/>
          <w:lang w:val="sr-CS"/>
        </w:rPr>
        <w:t>(Слика 18.)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/>
        <w:drawing>
          <wp:inline distT="0" distB="0" distL="0" distR="0">
            <wp:extent cx="5500370" cy="2867660"/>
            <wp:effectExtent l="0" t="0" r="0" b="0"/>
            <wp:docPr id="158" name="Diagram1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>5.1.6.  ЗДРАВСТВО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Здравство као сектор односно јавна функција у буџету Општине финансира се са укупно 8,500.000,00 динара од чега 1,500.000,00 динара представља надокнаду за рад мртвозорске службе,  док се 7,500.000,00 динара издваја за суфинансирање Дома здравља и то углавном у делу дефицитарних кадрова. </w:t>
      </w:r>
      <w:r>
        <w:rPr>
          <w:rFonts w:cs="Times New Roman" w:ascii="Times New Roman" w:hAnsi="Times New Roman"/>
          <w:sz w:val="20"/>
          <w:szCs w:val="20"/>
          <w:lang w:val="sr-CS"/>
        </w:rPr>
        <w:t>Слика 19.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   </w:t>
      </w:r>
      <w:r>
        <w:rPr>
          <w:rFonts w:cs="Times New Roman" w:ascii="Times New Roman" w:hAnsi="Times New Roman"/>
          <w:sz w:val="26"/>
          <w:szCs w:val="26"/>
          <w:lang w:val="sr-CS"/>
        </w:rPr>
        <w:drawing>
          <wp:inline distT="0" distB="0" distL="0" distR="0">
            <wp:extent cx="3099435" cy="1931670"/>
            <wp:effectExtent l="0" t="0" r="0" b="0"/>
            <wp:docPr id="159" name="Picture 31" descr="здрављ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31" descr="здравље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6"/>
          <w:szCs w:val="26"/>
          <w:lang w:val="sr-CS"/>
        </w:rPr>
        <w:drawing>
          <wp:inline distT="0" distB="0" distL="0" distR="0">
            <wp:extent cx="2814955" cy="1935480"/>
            <wp:effectExtent l="0" t="0" r="0" b="0"/>
            <wp:docPr id="160" name="Picture 27" descr="hitna-pomoc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27" descr="hitna-pomoc-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>5.1.7.  РЕКРЕАЦИЈА, СПОРТ,  КУЛТУРА И ИНФОРМИСАЊЕ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У овом функционалном сегменту буџета укупно је издвојено </w:t>
      </w:r>
      <w:r>
        <w:rPr>
          <w:rFonts w:cs="Times New Roman" w:ascii="Times New Roman" w:hAnsi="Times New Roman"/>
          <w:sz w:val="26"/>
          <w:szCs w:val="26"/>
          <w:lang w:val="sr-RS"/>
        </w:rPr>
        <w:t>98</w:t>
      </w:r>
      <w:r>
        <w:rPr>
          <w:rFonts w:cs="Times New Roman" w:ascii="Times New Roman" w:hAnsi="Times New Roman"/>
          <w:sz w:val="26"/>
          <w:szCs w:val="26"/>
        </w:rPr>
        <w:t>.</w:t>
      </w:r>
      <w:r>
        <w:rPr>
          <w:rFonts w:cs="Times New Roman" w:ascii="Times New Roman" w:hAnsi="Times New Roman"/>
          <w:sz w:val="26"/>
          <w:szCs w:val="26"/>
          <w:lang w:val="sr-RS"/>
        </w:rPr>
        <w:t>820</w:t>
      </w:r>
      <w:r>
        <w:rPr>
          <w:rFonts w:cs="Times New Roman" w:ascii="Times New Roman" w:hAnsi="Times New Roman"/>
          <w:sz w:val="26"/>
          <w:szCs w:val="26"/>
          <w:lang w:val="sr-CS"/>
        </w:rPr>
        <w:t xml:space="preserve">.000,00 динара.По подфункцијама средства су расподељена на следећи начин: </w:t>
      </w:r>
      <w:r>
        <w:rPr>
          <w:rFonts w:cs="Times New Roman" w:ascii="Times New Roman" w:hAnsi="Times New Roman"/>
          <w:sz w:val="20"/>
          <w:szCs w:val="20"/>
          <w:lang w:val="sr-CS"/>
        </w:rPr>
        <w:t>(Слика 20.)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 xml:space="preserve"> </w:t>
      </w: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drawing>
          <wp:inline distT="0" distB="0" distL="0" distR="0">
            <wp:extent cx="1966595" cy="2251075"/>
            <wp:effectExtent l="0" t="0" r="0" b="0"/>
            <wp:docPr id="161" name="Picture 50" descr="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50" descr="спорт 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drawing>
          <wp:inline distT="0" distB="0" distL="0" distR="0">
            <wp:extent cx="2059305" cy="2301240"/>
            <wp:effectExtent l="0" t="0" r="0" b="0"/>
            <wp:docPr id="162" name="Pictur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40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drawing>
          <wp:inline distT="0" distB="0" distL="0" distR="0">
            <wp:extent cx="1985645" cy="2305685"/>
            <wp:effectExtent l="0" t="0" r="0" b="0"/>
            <wp:docPr id="163" name="Image1" descr="C:\Users\User 1\Downloads\кар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1" descr="C:\Users\User 1\Downloads\карате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drawing>
          <wp:inline distT="0" distB="0" distL="0" distR="0">
            <wp:extent cx="2204720" cy="2599690"/>
            <wp:effectExtent l="0" t="0" r="0" b="0"/>
            <wp:docPr id="164" name="Picture 42" descr="филмови 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42" descr="филмови цк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drawing>
          <wp:inline distT="0" distB="0" distL="0" distR="0">
            <wp:extent cx="1985645" cy="2602230"/>
            <wp:effectExtent l="0" t="0" r="0" b="0"/>
            <wp:docPr id="165" name="Picture 43" descr="верски садржај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43" descr="верски садржаји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drawing>
          <wp:inline distT="0" distB="0" distL="0" distR="0">
            <wp:extent cx="1998980" cy="2600960"/>
            <wp:effectExtent l="0" t="0" r="0" b="0"/>
            <wp:docPr id="166" name="Picture 47" descr="маскен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47" descr="маскенбал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6"/>
          <w:szCs w:val="26"/>
          <w:lang w:val="sr-CS"/>
        </w:rPr>
      </w:pPr>
      <w:r>
        <w:rPr/>
        <w:drawing>
          <wp:inline distT="0" distB="0" distL="0" distR="0">
            <wp:extent cx="2938145" cy="1919605"/>
            <wp:effectExtent l="0" t="0" r="0" b="0"/>
            <wp:docPr id="167" name="Picture 30" descr="med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30" descr="mediji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101340" cy="1861820"/>
            <wp:effectExtent l="0" t="0" r="0" b="0"/>
            <wp:docPr id="168" name="Picture 33" descr="медиј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33" descr="медији 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/>
        <w:drawing>
          <wp:inline distT="0" distB="0" distL="0" distR="0">
            <wp:extent cx="5636260" cy="3832225"/>
            <wp:effectExtent l="0" t="0" r="0" b="0"/>
            <wp:docPr id="169" name="Diagram1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0"/>
          <w:szCs w:val="20"/>
          <w:lang w:val="sr-CS"/>
        </w:rPr>
      </w:pPr>
      <w:r>
        <w:rPr>
          <w:rFonts w:cs="Times New Roman" w:ascii="Times New Roman" w:hAnsi="Times New Roman"/>
          <w:sz w:val="20"/>
          <w:szCs w:val="20"/>
          <w:lang w:val="sr-CS"/>
        </w:rPr>
        <w:t>Слика 2</w:t>
      </w:r>
      <w:r>
        <w:rPr>
          <w:rFonts w:cs="Times New Roman" w:ascii="Times New Roman" w:hAnsi="Times New Roman"/>
          <w:sz w:val="20"/>
          <w:szCs w:val="20"/>
          <w:lang w:val="en-GB"/>
        </w:rPr>
        <w:t>1</w:t>
      </w:r>
      <w:r>
        <w:rPr>
          <w:rFonts w:cs="Times New Roman" w:ascii="Times New Roman" w:hAnsi="Times New Roman"/>
          <w:sz w:val="20"/>
          <w:szCs w:val="20"/>
          <w:lang w:val="sr-CS"/>
        </w:rPr>
        <w:t>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sz w:val="26"/>
          <w:szCs w:val="26"/>
          <w:u w:val="single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sz w:val="26"/>
          <w:szCs w:val="26"/>
          <w:u w:val="single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u w:val="single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lang w:val="sr-CS"/>
        </w:rPr>
        <w:t>5.1.8.  ОБРАЗОВАЊЕ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Обухвата предшколско, основно и средње образовање са следећим средствима: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0"/>
          <w:szCs w:val="20"/>
          <w:lang w:val="sr-CS"/>
        </w:rPr>
      </w:pPr>
      <w:r>
        <w:rPr>
          <w:rFonts w:cs="Times New Roman" w:ascii="Times New Roman" w:hAnsi="Times New Roman"/>
          <w:sz w:val="20"/>
          <w:szCs w:val="20"/>
          <w:lang w:val="sr-CS"/>
        </w:rPr>
        <w:t>Слика 2</w:t>
      </w:r>
      <w:r>
        <w:rPr>
          <w:rFonts w:cs="Times New Roman" w:ascii="Times New Roman" w:hAnsi="Times New Roman"/>
          <w:sz w:val="20"/>
          <w:szCs w:val="20"/>
          <w:lang w:val="en-GB"/>
        </w:rPr>
        <w:t>2</w:t>
      </w:r>
      <w:r>
        <w:rPr>
          <w:rFonts w:cs="Times New Roman" w:ascii="Times New Roman" w:hAnsi="Times New Roman"/>
          <w:sz w:val="20"/>
          <w:szCs w:val="20"/>
          <w:lang w:val="sr-CS"/>
        </w:rPr>
        <w:t>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/>
        <w:drawing>
          <wp:inline distT="0" distB="0" distL="0" distR="0">
            <wp:extent cx="2098040" cy="2100580"/>
            <wp:effectExtent l="0" t="0" r="0" b="0"/>
            <wp:docPr id="170" name="Picture 44" descr="m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44" descr="mali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89785" cy="2100580"/>
            <wp:effectExtent l="0" t="0" r="0" b="0"/>
            <wp:docPr id="171" name="Picture 45" descr="ОСНОВЦ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45" descr="ОСНОВЦИ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8810" cy="2098040"/>
            <wp:effectExtent l="0" t="0" r="0" b="0"/>
            <wp:docPr id="172" name="Picture 46" descr="srednjosko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46" descr="srednjoskolci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lang w:val="sr-CS"/>
        </w:rPr>
      </w:pPr>
      <w:r>
        <w:rPr>
          <w:rFonts w:cs="Times New Roman" w:ascii="Times New Roman" w:hAnsi="Times New Roman"/>
          <w:lang w:val="sr-CS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0"/>
          <w:szCs w:val="20"/>
          <w:lang w:val="sr-CS"/>
        </w:rPr>
        <w:t>Слика 2</w:t>
      </w:r>
      <w:r>
        <w:rPr>
          <w:rFonts w:cs="Times New Roman" w:ascii="Times New Roman" w:hAnsi="Times New Roman"/>
          <w:sz w:val="20"/>
          <w:szCs w:val="20"/>
        </w:rPr>
        <w:t>3</w:t>
      </w:r>
      <w:r>
        <w:rPr>
          <w:rFonts w:cs="Times New Roman" w:ascii="Times New Roman" w:hAnsi="Times New Roman"/>
          <w:sz w:val="20"/>
          <w:szCs w:val="20"/>
          <w:lang w:val="sr-CS"/>
        </w:rPr>
        <w:t>.</w:t>
      </w:r>
      <w:r>
        <w:rPr>
          <w:rFonts w:cs="Times New Roman" w:ascii="Times New Roman" w:hAnsi="Times New Roman"/>
          <w:lang w:val="en-GB"/>
        </w:rPr>
        <w:t xml:space="preserve"> </w:t>
      </w:r>
      <w:r>
        <w:rPr>
          <w:rFonts w:cs="Times New Roman" w:ascii="Times New Roman" w:hAnsi="Times New Roman"/>
        </w:rPr>
        <w:t>Износ средстава за финансирање предшколског, основног и средњег образовања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/>
        <w:drawing>
          <wp:inline distT="0" distB="0" distL="0" distR="0">
            <wp:extent cx="5905500" cy="3067050"/>
            <wp:effectExtent l="0" t="0" r="0" b="0"/>
            <wp:docPr id="173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</w:r>
    </w:p>
    <w:p>
      <w:pPr>
        <w:pStyle w:val="Normal"/>
        <w:jc w:val="center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</w:r>
    </w:p>
    <w:p>
      <w:pPr>
        <w:pStyle w:val="Normal"/>
        <w:jc w:val="center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ПРЕДШКОЛСКО ОБРАЗОВАЊЕ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Општина Владичин Хан ће у 202</w:t>
      </w:r>
      <w:r>
        <w:rPr>
          <w:rFonts w:cs="Times New Roman" w:ascii="Times New Roman" w:hAnsi="Times New Roman"/>
          <w:sz w:val="26"/>
          <w:szCs w:val="26"/>
          <w:lang w:val="sr-RS"/>
        </w:rPr>
        <w:t>6</w:t>
      </w:r>
      <w:r>
        <w:rPr>
          <w:rFonts w:cs="Times New Roman" w:ascii="Times New Roman" w:hAnsi="Times New Roman"/>
          <w:sz w:val="26"/>
          <w:szCs w:val="26"/>
          <w:lang w:val="sr-CS"/>
        </w:rPr>
        <w:t xml:space="preserve">. години у оквиру подршке предшколском  образовању, у потпуности финансирати трошкове функционисања предшколске установе „Пчелица“   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За редовно функционисање Предшколске установе Пчелица у 202</w:t>
      </w:r>
      <w:r>
        <w:rPr>
          <w:rFonts w:cs="Times New Roman" w:ascii="Times New Roman" w:hAnsi="Times New Roman"/>
          <w:sz w:val="26"/>
          <w:szCs w:val="26"/>
          <w:lang w:val="sr-RS"/>
        </w:rPr>
        <w:t>6</w:t>
      </w:r>
      <w:r>
        <w:rPr>
          <w:rFonts w:cs="Times New Roman" w:ascii="Times New Roman" w:hAnsi="Times New Roman"/>
          <w:sz w:val="26"/>
          <w:szCs w:val="26"/>
          <w:lang w:val="sr-CS"/>
        </w:rPr>
        <w:t xml:space="preserve">. години издвојено је </w:t>
      </w:r>
      <w:r>
        <w:rPr>
          <w:rFonts w:cs="Times New Roman" w:ascii="Times New Roman" w:hAnsi="Times New Roman"/>
          <w:sz w:val="26"/>
          <w:szCs w:val="26"/>
          <w:lang w:val="sr-RS"/>
        </w:rPr>
        <w:t>155</w:t>
      </w:r>
      <w:r>
        <w:rPr>
          <w:rFonts w:cs="Times New Roman" w:ascii="Times New Roman" w:hAnsi="Times New Roman"/>
          <w:sz w:val="26"/>
          <w:szCs w:val="26"/>
        </w:rPr>
        <w:t>,</w:t>
      </w:r>
      <w:r>
        <w:rPr>
          <w:rFonts w:cs="Times New Roman" w:ascii="Times New Roman" w:hAnsi="Times New Roman"/>
          <w:sz w:val="26"/>
          <w:szCs w:val="26"/>
          <w:lang w:val="sr-RS"/>
        </w:rPr>
        <w:t>760</w:t>
      </w:r>
      <w:r>
        <w:rPr>
          <w:rFonts w:cs="Times New Roman" w:ascii="Times New Roman" w:hAnsi="Times New Roman"/>
          <w:sz w:val="26"/>
          <w:szCs w:val="26"/>
          <w:lang w:val="sr-CS"/>
        </w:rPr>
        <w:t xml:space="preserve">.000,00 динара при чему </w:t>
      </w:r>
      <w:r>
        <w:rPr>
          <w:rFonts w:cs="Times New Roman" w:ascii="Times New Roman" w:hAnsi="Times New Roman"/>
          <w:sz w:val="26"/>
          <w:szCs w:val="26"/>
          <w:lang w:val="sr-RS"/>
        </w:rPr>
        <w:t>11</w:t>
      </w:r>
      <w:r>
        <w:rPr>
          <w:rFonts w:cs="Times New Roman" w:ascii="Times New Roman" w:hAnsi="Times New Roman"/>
          <w:sz w:val="26"/>
          <w:szCs w:val="26"/>
        </w:rPr>
        <w:t>,</w:t>
      </w:r>
      <w:r>
        <w:rPr>
          <w:rFonts w:cs="Times New Roman" w:ascii="Times New Roman" w:hAnsi="Times New Roman"/>
          <w:sz w:val="26"/>
          <w:szCs w:val="26"/>
          <w:lang w:val="en-AU"/>
        </w:rPr>
        <w:t>0</w:t>
      </w:r>
      <w:r>
        <w:rPr>
          <w:rFonts w:cs="Times New Roman" w:ascii="Times New Roman" w:hAnsi="Times New Roman"/>
          <w:sz w:val="26"/>
          <w:szCs w:val="26"/>
          <w:lang w:val="sr-CS"/>
        </w:rPr>
        <w:t xml:space="preserve"> милиона динара чине наменска средства Републике за финансирање обавезног припремног предшколског програма.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Обавезни припремни предшколски програм финансира се средствима Министарства просвете док Општина финансира функционисање установе у свим осталим групама са учешћем у материјалним трошковима односно у економској цени боравка деце са 80% и у потпуности у инвестиционом одржавању и изградњи објеката за нормалан рад установе. Слика</w:t>
      </w:r>
      <w:r>
        <w:rPr>
          <w:rFonts w:cs="Times New Roman" w:ascii="Times New Roman" w:hAnsi="Times New Roman"/>
          <w:sz w:val="20"/>
          <w:szCs w:val="20"/>
          <w:lang w:val="sr-CS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sr-CS"/>
        </w:rPr>
        <w:t>24. показује удео појединих врста трошкова у укупним трошковима везаним за функционисање Предшколске установе Пчелица у Владичином Хану.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/>
        <w:drawing>
          <wp:inline distT="0" distB="0" distL="0" distR="0">
            <wp:extent cx="5972810" cy="3228975"/>
            <wp:effectExtent l="0" t="0" r="0" b="0"/>
            <wp:docPr id="17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6"/>
          <w:szCs w:val="26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lang w:val="sr-CS"/>
        </w:rPr>
        <w:t>ОСНОВНО ОБРАЗОВАЊЕ.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Законом о основама система образовања и васпитања децидно је прецизирано које се врсте трошкова основном образовању финансирају са нивоа Општине односно Републике. У том смислу са нивоа локала издвајају се средства за готово све врсте трошкова и издатака изузев зарада радника које финансира Министарство просвете. На територији Општине функционише четири основних школа са својим подручним одељењима које, у складу са нормативима појединих врста трошкова и планираном инвестиционом активношћу средства повлаче у следећим износима </w:t>
      </w:r>
      <w:r>
        <w:rPr>
          <w:rFonts w:cs="Times New Roman" w:ascii="Times New Roman" w:hAnsi="Times New Roman"/>
          <w:sz w:val="20"/>
          <w:szCs w:val="20"/>
          <w:lang w:val="sr-CS"/>
        </w:rPr>
        <w:t>(Слика 25)</w:t>
      </w:r>
      <w:r>
        <w:rPr>
          <w:rFonts w:cs="Times New Roman" w:ascii="Times New Roman" w:hAnsi="Times New Roman"/>
          <w:sz w:val="26"/>
          <w:szCs w:val="26"/>
          <w:lang w:val="sr-CS"/>
        </w:rPr>
        <w:t xml:space="preserve">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lang w:val="sr-CS"/>
        </w:rPr>
        <w:t>ВИСИНА ТРАНСФЕРНИХ СРЕДСТАВА ПО ОСНОВНИМ ШКОЛАМА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W w:w="7220" w:type="dxa"/>
        <w:jc w:val="left"/>
        <w:tblInd w:w="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080"/>
        <w:gridCol w:w="2680"/>
        <w:gridCol w:w="1460"/>
      </w:tblGrid>
      <w:tr>
        <w:trPr>
          <w:trHeight w:val="300" w:hRule="atLeast"/>
        </w:trPr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2025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2026</w:t>
            </w:r>
          </w:p>
        </w:tc>
      </w:tr>
      <w:tr>
        <w:trPr>
          <w:trHeight w:val="300" w:hRule="atLeast"/>
        </w:trPr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ОШ Бранко Радичевић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21,000,000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23,000,000</w:t>
            </w:r>
          </w:p>
        </w:tc>
      </w:tr>
      <w:tr>
        <w:trPr>
          <w:trHeight w:val="300" w:hRule="atLeast"/>
        </w:trPr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ОШ Свети Сава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31,000,000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29,000,000</w:t>
            </w:r>
          </w:p>
        </w:tc>
      </w:tr>
      <w:tr>
        <w:trPr>
          <w:trHeight w:val="300" w:hRule="atLeast"/>
        </w:trPr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ОШ Вук Караџић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14,000,000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15,500,000</w:t>
            </w:r>
          </w:p>
        </w:tc>
      </w:tr>
      <w:tr>
        <w:trPr>
          <w:trHeight w:val="300" w:hRule="atLeast"/>
        </w:trPr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ОШ Радомир Путник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10,000,000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11,500,000</w:t>
            </w:r>
          </w:p>
        </w:tc>
      </w:tr>
      <w:tr>
        <w:trPr>
          <w:trHeight w:val="300" w:hRule="atLeast"/>
        </w:trPr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98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26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76,000,000.00</w:t>
            </w:r>
          </w:p>
        </w:tc>
        <w:tc>
          <w:tcPr>
            <w:tcW w:w="1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79,000,000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Упоредни приказ висине трансферних средстава у основном образовању 2025/2026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810250" cy="3676650"/>
            <wp:effectExtent l="0" t="0" r="0" b="0"/>
            <wp:docPr id="17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R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Слика 26. Структура трошкова у основном образовању по врстама трошкова за 202</w:t>
      </w:r>
      <w:r>
        <w:rPr>
          <w:rFonts w:cs="Times New Roman" w:ascii="Times New Roman" w:hAnsi="Times New Roman"/>
          <w:sz w:val="20"/>
          <w:szCs w:val="20"/>
          <w:lang w:val="sr-RS"/>
        </w:rPr>
        <w:t>6</w:t>
      </w:r>
      <w:r>
        <w:rPr>
          <w:rFonts w:cs="Times New Roman" w:ascii="Times New Roman" w:hAnsi="Times New Roman"/>
          <w:sz w:val="20"/>
          <w:szCs w:val="20"/>
        </w:rPr>
        <w:t>. годину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lang w:val="en-AU"/>
        </w:rPr>
      </w:pPr>
      <w:r>
        <w:rPr/>
        <w:drawing>
          <wp:inline distT="0" distB="0" distL="0" distR="0">
            <wp:extent cx="5972810" cy="4213225"/>
            <wp:effectExtent l="0" t="0" r="0" b="0"/>
            <wp:docPr id="17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lang w:val="en-AU"/>
        </w:rPr>
      </w:pPr>
      <w:r>
        <w:rPr>
          <w:rFonts w:cs="Times New Roman" w:ascii="Times New Roman" w:hAnsi="Times New Roman"/>
          <w:b/>
          <w:sz w:val="26"/>
          <w:szCs w:val="26"/>
          <w:lang w:val="en-AU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6"/>
          <w:szCs w:val="26"/>
          <w:lang w:val="sr-CS"/>
        </w:rPr>
      </w:pPr>
      <w:r>
        <w:rPr>
          <w:rFonts w:cs="Times New Roman" w:ascii="Times New Roman" w:hAnsi="Times New Roman"/>
          <w:b/>
          <w:sz w:val="26"/>
          <w:szCs w:val="26"/>
          <w:lang w:val="sr-CS"/>
        </w:rPr>
        <w:t>СРЕДЊЕ ОБРАЗОВАЊЕ.</w:t>
      </w:r>
    </w:p>
    <w:p>
      <w:pPr>
        <w:pStyle w:val="Normal"/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Регулисано је истим прописима и готово идентично као и основно образовање. На територији Општине коегзистирају две средње школе  у заједничком простору. Укупни трошкови овим образовним институцијама расподељени су на следећи начин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 xml:space="preserve">Гимназија Јован Скерлић .................................    </w:t>
      </w:r>
      <w:r>
        <w:rPr>
          <w:rFonts w:cs="Times New Roman" w:ascii="Times New Roman" w:hAnsi="Times New Roman"/>
          <w:sz w:val="26"/>
          <w:szCs w:val="26"/>
          <w:lang w:val="en-AU"/>
        </w:rPr>
        <w:t>17</w:t>
      </w:r>
      <w:r>
        <w:rPr>
          <w:rFonts w:cs="Times New Roman" w:ascii="Times New Roman" w:hAnsi="Times New Roman"/>
          <w:sz w:val="26"/>
          <w:szCs w:val="26"/>
          <w:lang w:val="sr-CS"/>
        </w:rPr>
        <w:t>,000.000,00 динара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  <w:lang w:val="sr-CS"/>
        </w:rPr>
      </w:pPr>
      <w:r>
        <w:rPr>
          <w:rFonts w:cs="Times New Roman" w:ascii="Times New Roman" w:hAnsi="Times New Roman"/>
          <w:sz w:val="26"/>
          <w:szCs w:val="26"/>
          <w:lang w:val="sr-CS"/>
        </w:rPr>
        <w:t>Техничка школа     .............................................    1</w:t>
      </w:r>
      <w:r>
        <w:rPr>
          <w:rFonts w:cs="Times New Roman" w:ascii="Times New Roman" w:hAnsi="Times New Roman"/>
          <w:sz w:val="26"/>
          <w:szCs w:val="26"/>
          <w:lang w:val="en-AU"/>
        </w:rPr>
        <w:t>8</w:t>
      </w:r>
      <w:r>
        <w:rPr>
          <w:rFonts w:cs="Times New Roman" w:ascii="Times New Roman" w:hAnsi="Times New Roman"/>
          <w:sz w:val="26"/>
          <w:szCs w:val="26"/>
          <w:lang w:val="sr-CS"/>
        </w:rPr>
        <w:t>,000.000,00 динара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0"/>
          <w:szCs w:val="20"/>
          <w:lang w:val="en-AU"/>
        </w:rPr>
      </w:pPr>
      <w:r>
        <w:rPr>
          <w:rFonts w:cs="Times New Roman" w:ascii="Times New Roman" w:hAnsi="Times New Roman"/>
          <w:b/>
          <w:sz w:val="20"/>
          <w:szCs w:val="20"/>
          <w:lang w:val="sr-CS"/>
        </w:rPr>
        <w:t>Слика 27.УПОРЕДНИ  ПРИКАЗ  ТРАНСФЕРНИХ  СРЕДСТАВА ПО СРЕДЊИМ ШКОЛАМА</w:t>
      </w:r>
      <w:r>
        <w:rPr>
          <w:rFonts w:cs="Times New Roman" w:ascii="Times New Roman" w:hAnsi="Times New Roman"/>
          <w:b/>
          <w:sz w:val="24"/>
          <w:szCs w:val="24"/>
          <w:lang w:val="sr-CS"/>
        </w:rPr>
        <w:t xml:space="preserve">  </w:t>
      </w:r>
      <w:r>
        <w:rPr>
          <w:rFonts w:cs="Times New Roman" w:ascii="Times New Roman" w:hAnsi="Times New Roman"/>
          <w:b/>
          <w:sz w:val="20"/>
          <w:szCs w:val="20"/>
          <w:lang w:val="sr-CS"/>
        </w:rPr>
        <w:t>202</w:t>
      </w:r>
      <w:r>
        <w:rPr>
          <w:rFonts w:cs="Times New Roman" w:ascii="Times New Roman" w:hAnsi="Times New Roman"/>
          <w:b/>
          <w:sz w:val="20"/>
          <w:szCs w:val="20"/>
          <w:lang w:val="en-AU"/>
        </w:rPr>
        <w:t>5</w:t>
      </w:r>
      <w:r>
        <w:rPr>
          <w:rFonts w:cs="Times New Roman" w:ascii="Times New Roman" w:hAnsi="Times New Roman"/>
          <w:b/>
          <w:sz w:val="20"/>
          <w:szCs w:val="20"/>
          <w:lang w:val="sr-CS"/>
        </w:rPr>
        <w:t>/20</w:t>
      </w:r>
      <w:r>
        <w:rPr>
          <w:rFonts w:cs="Times New Roman" w:ascii="Times New Roman" w:hAnsi="Times New Roman"/>
          <w:b/>
          <w:sz w:val="20"/>
          <w:szCs w:val="20"/>
          <w:lang w:val="en-AU"/>
        </w:rPr>
        <w:t>26</w:t>
      </w:r>
    </w:p>
    <w:p>
      <w:pPr>
        <w:pStyle w:val="Normal"/>
        <w:spacing w:lineRule="auto" w:line="240"/>
        <w:rPr>
          <w:rFonts w:ascii="Times New Roman" w:hAnsi="Times New Roman" w:cs="Times New Roman"/>
          <w:sz w:val="20"/>
          <w:szCs w:val="20"/>
          <w:lang w:val="sr-RS"/>
        </w:rPr>
      </w:pPr>
      <w:r>
        <w:rPr/>
        <w:drawing>
          <wp:inline distT="0" distB="0" distL="0" distR="0">
            <wp:extent cx="4572000" cy="2743200"/>
            <wp:effectExtent l="0" t="0" r="0" b="0"/>
            <wp:docPr id="177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sz w:val="20"/>
          <w:szCs w:val="20"/>
          <w:lang w:val="sr-RS"/>
        </w:rPr>
      </w:pPr>
      <w:r>
        <w:rPr>
          <w:rFonts w:cs="Times New Roman" w:ascii="Times New Roman" w:hAnsi="Times New Roman"/>
          <w:sz w:val="20"/>
          <w:szCs w:val="20"/>
          <w:lang w:val="sr-CS"/>
        </w:rPr>
        <w:t>Слика 28.</w:t>
      </w:r>
    </w:p>
    <w:p>
      <w:pPr>
        <w:pStyle w:val="Normal"/>
        <w:spacing w:lineRule="auto" w:line="240"/>
        <w:rPr>
          <w:rFonts w:ascii="Times New Roman" w:hAnsi="Times New Roman" w:cs="Times New Roman"/>
          <w:sz w:val="20"/>
          <w:szCs w:val="20"/>
          <w:lang w:val="sr-CS"/>
        </w:rPr>
      </w:pPr>
      <w:r>
        <w:rPr/>
        <w:drawing>
          <wp:inline distT="0" distB="0" distL="0" distR="0">
            <wp:extent cx="5324475" cy="3714750"/>
            <wp:effectExtent l="0" t="0" r="0" b="0"/>
            <wp:docPr id="178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sz w:val="20"/>
          <w:szCs w:val="20"/>
          <w:lang w:val="sr-CS"/>
        </w:rPr>
      </w:pPr>
      <w:r>
        <w:rPr>
          <w:rFonts w:cs="Times New Roman" w:ascii="Times New Roman" w:hAnsi="Times New Roman"/>
          <w:sz w:val="20"/>
          <w:szCs w:val="20"/>
          <w:lang w:val="sr-CS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120"/>
        <w:contextualSpacing/>
        <w:jc w:val="center"/>
        <w:rPr>
          <w:rFonts w:ascii="Times New Roman" w:hAnsi="Times New Roman" w:cs="Times New Roman"/>
          <w:b/>
          <w:b/>
          <w:sz w:val="24"/>
          <w:szCs w:val="24"/>
          <w:u w:val="single"/>
          <w:lang w:val="sr-CS"/>
        </w:rPr>
      </w:pPr>
      <w:r>
        <w:rPr>
          <w:rFonts w:cs="Times New Roman" w:ascii="Times New Roman" w:hAnsi="Times New Roman"/>
          <w:b/>
          <w:sz w:val="24"/>
          <w:szCs w:val="24"/>
          <w:u w:val="single"/>
          <w:lang w:val="sr-CS"/>
        </w:rPr>
        <w:t>ОСНОВНЕ КАРАКТЕРИСТИКЕ БУЏЕТА ОПШТИНЕ У 202</w:t>
      </w:r>
      <w:r>
        <w:rPr>
          <w:rFonts w:cs="Times New Roman" w:ascii="Times New Roman" w:hAnsi="Times New Roman"/>
          <w:b/>
          <w:sz w:val="24"/>
          <w:szCs w:val="24"/>
          <w:u w:val="single"/>
          <w:lang w:val="sr-RS"/>
        </w:rPr>
        <w:t>6</w:t>
      </w:r>
      <w:r>
        <w:rPr>
          <w:rFonts w:cs="Times New Roman" w:ascii="Times New Roman" w:hAnsi="Times New Roman"/>
          <w:b/>
          <w:sz w:val="24"/>
          <w:szCs w:val="24"/>
          <w:u w:val="single"/>
          <w:lang w:val="sr-CS"/>
        </w:rPr>
        <w:t>. ГОДИНИ</w:t>
      </w:r>
    </w:p>
    <w:p>
      <w:pPr>
        <w:pStyle w:val="Normal"/>
        <w:spacing w:lineRule="auto" w:line="240" w:before="0" w:after="120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Сублимирањем основних  карактеристике буџета Општине Владичин Хан за 202</w:t>
      </w:r>
      <w:r>
        <w:rPr>
          <w:rFonts w:cs="Times New Roman" w:ascii="Times New Roman" w:hAnsi="Times New Roman"/>
          <w:sz w:val="24"/>
          <w:szCs w:val="24"/>
          <w:lang w:val="sr-RS"/>
        </w:rPr>
        <w:t>6</w:t>
      </w:r>
      <w:r>
        <w:rPr>
          <w:rFonts w:cs="Times New Roman" w:ascii="Times New Roman" w:hAnsi="Times New Roman"/>
          <w:sz w:val="24"/>
          <w:szCs w:val="24"/>
          <w:lang w:val="sr-CS"/>
        </w:rPr>
        <w:t>. годину, а у поређењу са претходним годинама, нарочито се истиче  следеће: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Значајан износ  пренетих прихода из претходне године у  буџету Општине уз истоветан износ пренетих обавеза по основу наменских трансфера превасходно у домену инвестиција у области саобраћаја, енергетске ефикасности и екологије,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 xml:space="preserve">Пројектовано незнатно повећање прихода од пореза на зараде као квантификација позитивних ефеката активне политике запошљавања, 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Опрезан приступ у сагледавању прихода и примања уз готово непромењено учешће свих осталих прихода буџета у апсолутним величинама,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Плате  запослених који се финансирају из буџета Општине у складу са изменама Закона о буџетском систему увећане су за 5,1% код свих корисника буџета Општине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Рестриктивна политика текућег пословања свих корисника буџета у смислу пројектовања минималних материјалних трошкова за несметано пословање,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Проритетизација улагања у пројекте који за примарни циљ имају повећање енергетске ефикасности објеката у својини Општине односно оних чији је Општина корисник,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Повећана издвајања за побољшање квалитета локалне инфраструктуре (опремање јавних предузећа, путеви, водоснабдевање, канализациона мрежа ...)</w:t>
      </w:r>
    </w:p>
    <w:p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Диверзификована издвајања за социјалну заштиту  различитих категорија грађана,</w:t>
      </w:r>
    </w:p>
    <w:p>
      <w:pPr>
        <w:sectPr>
          <w:footerReference w:type="default" r:id="rId61"/>
          <w:type w:val="nextPage"/>
          <w:pgSz w:w="12240" w:h="15840"/>
          <w:pgMar w:left="1350" w:right="900" w:header="0" w:top="993" w:footer="560" w:bottom="1080" w:gutter="0"/>
          <w:pgNumType w:fmt="decimal"/>
          <w:formProt w:val="false"/>
          <w:textDirection w:val="lrTb"/>
          <w:docGrid w:type="default" w:linePitch="360" w:charSpace="4294965247"/>
        </w:sect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sr-CS"/>
        </w:rPr>
      </w:pPr>
      <w:r>
        <w:rPr>
          <w:rFonts w:cs="Times New Roman" w:ascii="Times New Roman" w:hAnsi="Times New Roman"/>
          <w:sz w:val="24"/>
          <w:szCs w:val="24"/>
          <w:lang w:val="sr-CS"/>
        </w:rPr>
        <w:t>Родно сензибилно буџетирање готово свих програма и програмских активности.</w:t>
      </w:r>
    </w:p>
    <w:p>
      <w:pPr>
        <w:pStyle w:val="Normal"/>
        <w:tabs>
          <w:tab w:val="left" w:pos="4372" w:leader="none"/>
        </w:tabs>
        <w:rPr>
          <w:b/>
          <w:b/>
          <w:i/>
          <w:i/>
          <w:lang w:val="sr-CS"/>
        </w:rPr>
      </w:pPr>
      <w:r>
        <w:rPr>
          <w:b/>
          <w:lang w:val="sr-CS"/>
        </w:rPr>
        <w:t xml:space="preserve">ПРИЛОГ 1: </w:t>
      </w:r>
      <w:r>
        <w:rPr>
          <w:b/>
          <w:i/>
          <w:lang w:val="sr-CS"/>
        </w:rPr>
        <w:t>Преглед Капиталних пројеката по секторима, вредностима, годинама и приоритетима.</w:t>
      </w:r>
    </w:p>
    <w:tbl>
      <w:tblPr>
        <w:tblW w:w="14671" w:type="dxa"/>
        <w:jc w:val="left"/>
        <w:tblInd w:w="88" w:type="dxa"/>
        <w:tblBorders>
          <w:top w:val="single" w:sz="8" w:space="0" w:color="00000A"/>
          <w:left w:val="single" w:sz="8" w:space="0" w:color="00000A"/>
          <w:bottom w:val="single" w:sz="8" w:space="0" w:color="00000A"/>
          <w:insideH w:val="single" w:sz="8" w:space="0" w:color="00000A"/>
        </w:tblBorders>
        <w:tblCellMar>
          <w:top w:w="0" w:type="dxa"/>
          <w:left w:w="8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58"/>
        <w:gridCol w:w="2774"/>
        <w:gridCol w:w="441"/>
        <w:gridCol w:w="1504"/>
        <w:gridCol w:w="364"/>
        <w:gridCol w:w="1184"/>
        <w:gridCol w:w="1430"/>
        <w:gridCol w:w="1309"/>
        <w:gridCol w:w="4"/>
        <w:gridCol w:w="514"/>
        <w:gridCol w:w="493"/>
        <w:gridCol w:w="744"/>
        <w:gridCol w:w="689"/>
        <w:gridCol w:w="220"/>
        <w:gridCol w:w="732"/>
        <w:gridCol w:w="1310"/>
      </w:tblGrid>
      <w:tr>
        <w:trPr>
          <w:trHeight w:val="1080" w:hRule="atLeast"/>
        </w:trPr>
        <w:tc>
          <w:tcPr>
            <w:tcW w:w="14670" w:type="dxa"/>
            <w:gridSpan w:val="16"/>
            <w:tcBorders>
              <w:top w:val="single" w:sz="8" w:space="0" w:color="00000A"/>
              <w:left w:val="single" w:sz="8" w:space="0" w:color="00000A"/>
              <w:bottom w:val="single" w:sz="8" w:space="0" w:color="00000A"/>
              <w:insideH w:val="single" w:sz="8" w:space="0" w:color="00000A"/>
            </w:tcBorders>
            <w:shd w:color="000000" w:fill="E6B8B7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ПРЕГЛЕД  КАПИТАЛНИХ ПРОЈЕКАТА ПО СЕКТОРИМА, ВРЕДНОСТИ И ДИНАМИЦИ ФИНАНСИРАЊА</w:t>
            </w:r>
          </w:p>
        </w:tc>
      </w:tr>
      <w:tr>
        <w:trPr>
          <w:trHeight w:val="315" w:hRule="atLeast"/>
        </w:trPr>
        <w:tc>
          <w:tcPr>
            <w:tcW w:w="958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  <w:insideH w:val="single" w:sz="8" w:space="0" w:color="000001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шифра сектора</w:t>
            </w:r>
          </w:p>
        </w:tc>
        <w:tc>
          <w:tcPr>
            <w:tcW w:w="3215" w:type="dxa"/>
            <w:gridSpan w:val="2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  <w:insideH w:val="single" w:sz="8" w:space="0" w:color="000001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назив сектора</w:t>
            </w:r>
          </w:p>
        </w:tc>
        <w:tc>
          <w:tcPr>
            <w:tcW w:w="1868" w:type="dxa"/>
            <w:gridSpan w:val="2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  <w:insideH w:val="single" w:sz="8" w:space="0" w:color="000001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 xml:space="preserve">укупна вредност пројеката </w:t>
            </w:r>
          </w:p>
        </w:tc>
        <w:tc>
          <w:tcPr>
            <w:tcW w:w="2614" w:type="dxa"/>
            <w:gridSpan w:val="2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  <w:insideH w:val="single" w:sz="8" w:space="0" w:color="000001"/>
              <w:insideV w:val="single" w:sz="8" w:space="0" w:color="00000A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вредност реализованог до 2026.године</w:t>
            </w:r>
          </w:p>
        </w:tc>
        <w:tc>
          <w:tcPr>
            <w:tcW w:w="6015" w:type="dxa"/>
            <w:gridSpan w:val="9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вредност пројекта по годинама финансирања</w:t>
            </w:r>
          </w:p>
        </w:tc>
      </w:tr>
      <w:tr>
        <w:trPr>
          <w:trHeight w:val="1080" w:hRule="atLeast"/>
        </w:trPr>
        <w:tc>
          <w:tcPr>
            <w:tcW w:w="958" w:type="dxa"/>
            <w:vMerge w:val="continue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  <w:insideH w:val="single" w:sz="8" w:space="0" w:color="000001"/>
              <w:insideV w:val="single" w:sz="8" w:space="0" w:color="00000A"/>
            </w:tcBorders>
            <w:shd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</w:r>
          </w:p>
        </w:tc>
        <w:tc>
          <w:tcPr>
            <w:tcW w:w="3215" w:type="dxa"/>
            <w:gridSpan w:val="2"/>
            <w:vMerge w:val="continue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  <w:insideH w:val="single" w:sz="8" w:space="0" w:color="000001"/>
              <w:insideV w:val="single" w:sz="8" w:space="0" w:color="00000A"/>
            </w:tcBorders>
            <w:shd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</w:r>
          </w:p>
        </w:tc>
        <w:tc>
          <w:tcPr>
            <w:tcW w:w="1868" w:type="dxa"/>
            <w:gridSpan w:val="2"/>
            <w:vMerge w:val="continue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  <w:insideH w:val="single" w:sz="8" w:space="0" w:color="000001"/>
              <w:insideV w:val="single" w:sz="8" w:space="0" w:color="00000A"/>
            </w:tcBorders>
            <w:shd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</w:r>
          </w:p>
        </w:tc>
        <w:tc>
          <w:tcPr>
            <w:tcW w:w="2614" w:type="dxa"/>
            <w:gridSpan w:val="2"/>
            <w:vMerge w:val="continue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  <w:insideH w:val="single" w:sz="8" w:space="0" w:color="000001"/>
              <w:insideV w:val="single" w:sz="8" w:space="0" w:color="00000A"/>
            </w:tcBorders>
            <w:shd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</w:r>
          </w:p>
        </w:tc>
        <w:tc>
          <w:tcPr>
            <w:tcW w:w="1827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2026</w:t>
            </w:r>
          </w:p>
        </w:tc>
        <w:tc>
          <w:tcPr>
            <w:tcW w:w="2146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2027</w:t>
            </w:r>
          </w:p>
        </w:tc>
        <w:tc>
          <w:tcPr>
            <w:tcW w:w="2042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2028</w:t>
            </w:r>
          </w:p>
        </w:tc>
      </w:tr>
      <w:tr>
        <w:trPr>
          <w:trHeight w:val="57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4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Заштита животне средине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color="000000" w:fill="DDD9C4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224,600,000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000000" w:fill="DDD9C4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40,850,000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000000" w:fill="DDD9C4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8,400,000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000000" w:fill="DDD9C4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93,600,000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color="000000" w:fill="DDD9C4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52,950,000</w:t>
            </w:r>
          </w:p>
        </w:tc>
      </w:tr>
      <w:tr>
        <w:trPr>
          <w:trHeight w:val="102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Израда ПТД за изградњу колектора и постројења за пречишћавање отпадних вода за Владичин Хан и Сурдулицу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25,000,000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17,000,000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1,400,000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6,600,000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81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Изградња примарног цевовода за водоснабдевање у МЗ Козница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39,800,000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18,000,000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21,800,000</w:t>
            </w:r>
          </w:p>
        </w:tc>
      </w:tr>
      <w:tr>
        <w:trPr>
          <w:trHeight w:val="100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Изградња примарног цевовода од чворишта испред индустријске зоне у С. Морави до црпне станице у Прибоју - 1. фаза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76,500,000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23,850,000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1,000,000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37,000,000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14,650,000</w:t>
            </w:r>
          </w:p>
        </w:tc>
      </w:tr>
      <w:tr>
        <w:trPr>
          <w:trHeight w:val="123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4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Изградња дела секундарног цевовода за водоснабдевање на делу улица Београдска, Ратка Софијанића и Степе Степановића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10,600,000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6,000,000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4,600,000</w:t>
            </w:r>
          </w:p>
        </w:tc>
      </w:tr>
      <w:tr>
        <w:trPr>
          <w:trHeight w:val="94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Изградња примарног цевовода за водоснабдевање од постојеће шахте у улици Београдској до резервоара у Калиманцу - 1. фаза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10,900,000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6,000,000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4,900,000</w:t>
            </w:r>
          </w:p>
        </w:tc>
      </w:tr>
      <w:tr>
        <w:trPr>
          <w:trHeight w:val="99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6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Изградња канализационе мреже у Улици Живојина Мишића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5,000,000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96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7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Изградња водоводне мреже за села Лепеница и Кацапун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28,800,000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28,800,000</w:t>
            </w:r>
          </w:p>
        </w:tc>
      </w:tr>
      <w:tr>
        <w:trPr>
          <w:trHeight w:val="60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8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Изградња секундарне водоводне мреже у насељу Бојчинце - Владичин Хан.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28,000,000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18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1,000,000</w:t>
            </w:r>
          </w:p>
        </w:tc>
        <w:tc>
          <w:tcPr>
            <w:tcW w:w="214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20,000,000</w:t>
            </w:r>
          </w:p>
        </w:tc>
        <w:tc>
          <w:tcPr>
            <w:tcW w:w="20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7,000,000</w:t>
            </w:r>
          </w:p>
        </w:tc>
      </w:tr>
      <w:tr>
        <w:trPr>
          <w:trHeight w:val="300" w:hRule="atLeast"/>
        </w:trPr>
        <w:tc>
          <w:tcPr>
            <w:tcW w:w="14670" w:type="dxa"/>
            <w:gridSpan w:val="16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1"/>
              <w:insideH w:val="single" w:sz="4" w:space="0" w:color="00000A"/>
              <w:insideV w:val="single" w:sz="8" w:space="0" w:color="000001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14670" w:type="dxa"/>
            <w:gridSpan w:val="16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1"/>
              <w:insideH w:val="single" w:sz="4" w:space="0" w:color="00000A"/>
              <w:insideV w:val="single" w:sz="8" w:space="0" w:color="000001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</w:tr>
      <w:tr>
        <w:trPr>
          <w:trHeight w:val="73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7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Саобраћај и комуникације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185,000,000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20,000,000</w:t>
            </w:r>
          </w:p>
        </w:tc>
        <w:tc>
          <w:tcPr>
            <w:tcW w:w="30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28,600,000</w:t>
            </w:r>
          </w:p>
        </w:tc>
        <w:tc>
          <w:tcPr>
            <w:tcW w:w="16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67,500,000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59,500,000</w:t>
            </w:r>
          </w:p>
        </w:tc>
      </w:tr>
      <w:tr>
        <w:trPr>
          <w:trHeight w:val="79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Изградња улице "Први мај"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18,000,000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30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18,000,000</w:t>
            </w:r>
          </w:p>
        </w:tc>
        <w:tc>
          <w:tcPr>
            <w:tcW w:w="16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46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Таковска улица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30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1,000,000</w:t>
            </w:r>
          </w:p>
        </w:tc>
        <w:tc>
          <w:tcPr>
            <w:tcW w:w="16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4,000,000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60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Авалска улица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6,500,000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30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1,000,000</w:t>
            </w:r>
          </w:p>
        </w:tc>
        <w:tc>
          <w:tcPr>
            <w:tcW w:w="16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5,500,000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70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4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Улица Краља Петра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26,000,000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30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3,000,000</w:t>
            </w:r>
          </w:p>
        </w:tc>
        <w:tc>
          <w:tcPr>
            <w:tcW w:w="16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3,000,000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20,000,000</w:t>
            </w:r>
          </w:p>
        </w:tc>
      </w:tr>
      <w:tr>
        <w:trPr>
          <w:trHeight w:val="90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Реконструкција  путева  у МЗ Љутеж, Стубал, Прекодолце, Декутинце,  Сува Морава и Куново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120,000,000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20,000,000</w:t>
            </w:r>
          </w:p>
        </w:tc>
        <w:tc>
          <w:tcPr>
            <w:tcW w:w="306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5,600,000</w:t>
            </w:r>
          </w:p>
        </w:tc>
        <w:tc>
          <w:tcPr>
            <w:tcW w:w="164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50,000,000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35,000,000</w:t>
            </w:r>
          </w:p>
        </w:tc>
      </w:tr>
      <w:tr>
        <w:trPr>
          <w:trHeight w:val="480" w:hRule="atLeast"/>
        </w:trPr>
        <w:tc>
          <w:tcPr>
            <w:tcW w:w="14670" w:type="dxa"/>
            <w:gridSpan w:val="16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1"/>
              <w:insideH w:val="single" w:sz="4" w:space="0" w:color="00000A"/>
              <w:insideV w:val="single" w:sz="8" w:space="0" w:color="000001"/>
            </w:tcBorders>
            <w:shd w:color="auto" w:fill="auto" w:val="clear"/>
            <w:tcMar>
              <w:left w:w="88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 w:eastAsia="sr-Latn-RS"/>
              </w:rPr>
              <w:t> </w:t>
            </w:r>
          </w:p>
        </w:tc>
      </w:tr>
      <w:tr>
        <w:trPr>
          <w:trHeight w:val="126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13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Спорт и омладина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40,000,000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29,000,000</w:t>
            </w:r>
          </w:p>
        </w:tc>
        <w:tc>
          <w:tcPr>
            <w:tcW w:w="13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11,000,000</w:t>
            </w:r>
          </w:p>
        </w:tc>
        <w:tc>
          <w:tcPr>
            <w:tcW w:w="10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0</w:t>
            </w:r>
          </w:p>
        </w:tc>
        <w:tc>
          <w:tcPr>
            <w:tcW w:w="369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0</w:t>
            </w:r>
          </w:p>
        </w:tc>
      </w:tr>
      <w:tr>
        <w:trPr>
          <w:trHeight w:val="90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3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 xml:space="preserve">Изградња и опремање спортско рекреативних јавних површина У Владичином Хану </w:t>
            </w:r>
          </w:p>
        </w:tc>
        <w:tc>
          <w:tcPr>
            <w:tcW w:w="18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40,000,000</w:t>
            </w:r>
          </w:p>
        </w:tc>
        <w:tc>
          <w:tcPr>
            <w:tcW w:w="26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29,000,000</w:t>
            </w:r>
          </w:p>
        </w:tc>
        <w:tc>
          <w:tcPr>
            <w:tcW w:w="13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11,000,000</w:t>
            </w:r>
          </w:p>
        </w:tc>
        <w:tc>
          <w:tcPr>
            <w:tcW w:w="100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369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118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6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Опште услуге јавне управе</w:t>
            </w:r>
          </w:p>
        </w:tc>
        <w:tc>
          <w:tcPr>
            <w:tcW w:w="1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130,000,000</w:t>
            </w:r>
          </w:p>
        </w:tc>
        <w:tc>
          <w:tcPr>
            <w:tcW w:w="1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47,500,000</w:t>
            </w:r>
          </w:p>
        </w:tc>
        <w:tc>
          <w:tcPr>
            <w:tcW w:w="27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39,500,000</w:t>
            </w:r>
          </w:p>
        </w:tc>
        <w:tc>
          <w:tcPr>
            <w:tcW w:w="244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25,000,000</w:t>
            </w:r>
          </w:p>
        </w:tc>
        <w:tc>
          <w:tcPr>
            <w:tcW w:w="22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18,000,000</w:t>
            </w:r>
          </w:p>
        </w:tc>
      </w:tr>
      <w:tr>
        <w:trPr>
          <w:trHeight w:val="108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Фактичка експропријација земљишта у зони санитарне заштите</w:t>
            </w:r>
          </w:p>
        </w:tc>
        <w:tc>
          <w:tcPr>
            <w:tcW w:w="1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130,000,000</w:t>
            </w:r>
          </w:p>
        </w:tc>
        <w:tc>
          <w:tcPr>
            <w:tcW w:w="1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47,500,000</w:t>
            </w:r>
          </w:p>
        </w:tc>
        <w:tc>
          <w:tcPr>
            <w:tcW w:w="27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39,500,000</w:t>
            </w:r>
          </w:p>
        </w:tc>
        <w:tc>
          <w:tcPr>
            <w:tcW w:w="244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25,000,000</w:t>
            </w:r>
          </w:p>
        </w:tc>
        <w:tc>
          <w:tcPr>
            <w:tcW w:w="22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18,000,000</w:t>
            </w:r>
          </w:p>
        </w:tc>
      </w:tr>
      <w:tr>
        <w:trPr>
          <w:trHeight w:val="315" w:hRule="atLeast"/>
        </w:trPr>
        <w:tc>
          <w:tcPr>
            <w:tcW w:w="14670" w:type="dxa"/>
            <w:gridSpan w:val="16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1"/>
              <w:insideH w:val="single" w:sz="4" w:space="0" w:color="00000A"/>
              <w:insideV w:val="single" w:sz="8" w:space="0" w:color="000001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12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Култура и информисање</w:t>
            </w:r>
          </w:p>
        </w:tc>
        <w:tc>
          <w:tcPr>
            <w:tcW w:w="1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18,000,000</w:t>
            </w:r>
          </w:p>
        </w:tc>
        <w:tc>
          <w:tcPr>
            <w:tcW w:w="1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14,500,000</w:t>
            </w:r>
          </w:p>
        </w:tc>
        <w:tc>
          <w:tcPr>
            <w:tcW w:w="27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3,500,000</w:t>
            </w:r>
          </w:p>
        </w:tc>
        <w:tc>
          <w:tcPr>
            <w:tcW w:w="244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0</w:t>
            </w:r>
          </w:p>
        </w:tc>
        <w:tc>
          <w:tcPr>
            <w:tcW w:w="22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0</w:t>
            </w:r>
          </w:p>
        </w:tc>
      </w:tr>
      <w:tr>
        <w:trPr>
          <w:trHeight w:val="1260" w:hRule="atLeast"/>
        </w:trPr>
        <w:tc>
          <w:tcPr>
            <w:tcW w:w="9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sr-Latn-RS" w:eastAsia="sr-Latn-RS"/>
              </w:rPr>
              <w:t>1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sr-Latn-RS" w:eastAsia="sr-Latn-RS"/>
              </w:rPr>
              <w:t>Унапређење енергетске ефикасности Установе за културне делатности, туризам и библиотекарство Општине Владичин Хан</w:t>
            </w:r>
          </w:p>
        </w:tc>
        <w:tc>
          <w:tcPr>
            <w:tcW w:w="1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sr-Latn-RS" w:eastAsia="sr-Latn-RS"/>
              </w:rPr>
              <w:t>18,000,000</w:t>
            </w:r>
          </w:p>
        </w:tc>
        <w:tc>
          <w:tcPr>
            <w:tcW w:w="1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sr-Latn-RS" w:eastAsia="sr-Latn-RS"/>
              </w:rPr>
              <w:t>14,500,000</w:t>
            </w:r>
          </w:p>
        </w:tc>
        <w:tc>
          <w:tcPr>
            <w:tcW w:w="27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sr-Latn-RS" w:eastAsia="sr-Latn-RS"/>
              </w:rPr>
              <w:t>3,500,000</w:t>
            </w:r>
          </w:p>
        </w:tc>
        <w:tc>
          <w:tcPr>
            <w:tcW w:w="244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sr-Latn-RS" w:eastAsia="sr-Latn-RS"/>
              </w:rPr>
              <w:t>0</w:t>
            </w:r>
          </w:p>
        </w:tc>
        <w:tc>
          <w:tcPr>
            <w:tcW w:w="22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7D0E9" w:themeFill="accent5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sr-Latn-RS" w:eastAsia="sr-Latn-RS"/>
              </w:rPr>
              <w:t>0</w:t>
            </w:r>
          </w:p>
        </w:tc>
      </w:tr>
      <w:tr>
        <w:trPr>
          <w:trHeight w:val="315" w:hRule="atLeast"/>
        </w:trPr>
        <w:tc>
          <w:tcPr>
            <w:tcW w:w="95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insideH w:val="single" w:sz="8" w:space="0" w:color="00000A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2774" w:type="dxa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1945" w:type="dxa"/>
            <w:gridSpan w:val="2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2739" w:type="dxa"/>
            <w:gridSpan w:val="2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2444" w:type="dxa"/>
            <w:gridSpan w:val="5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  <w:tc>
          <w:tcPr>
            <w:tcW w:w="2262" w:type="dxa"/>
            <w:gridSpan w:val="3"/>
            <w:tcBorders>
              <w:top w:val="single" w:sz="8" w:space="0" w:color="00000A"/>
              <w:bottom w:val="single" w:sz="8" w:space="0" w:color="00000A"/>
              <w:insideH w:val="single" w:sz="8" w:space="0" w:color="00000A"/>
            </w:tcBorders>
            <w:shd w:color="auto" w:fill="auto" w:val="clear"/>
            <w:tcMar>
              <w:left w:w="10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000000" w:fill="DDD9C4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20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Образовање</w:t>
            </w:r>
          </w:p>
        </w:tc>
        <w:tc>
          <w:tcPr>
            <w:tcW w:w="1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511,000,000</w:t>
            </w:r>
          </w:p>
        </w:tc>
        <w:tc>
          <w:tcPr>
            <w:tcW w:w="1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3,500,000</w:t>
            </w:r>
          </w:p>
        </w:tc>
        <w:tc>
          <w:tcPr>
            <w:tcW w:w="2739" w:type="dxa"/>
            <w:gridSpan w:val="2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9,500,000</w:t>
            </w:r>
          </w:p>
        </w:tc>
        <w:tc>
          <w:tcPr>
            <w:tcW w:w="2444" w:type="dxa"/>
            <w:gridSpan w:val="5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498,000,000</w:t>
            </w:r>
          </w:p>
        </w:tc>
        <w:tc>
          <w:tcPr>
            <w:tcW w:w="2262" w:type="dxa"/>
            <w:gridSpan w:val="3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000000" w:fill="DDD9C4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0</w:t>
            </w:r>
          </w:p>
        </w:tc>
      </w:tr>
      <w:tr>
        <w:trPr>
          <w:trHeight w:val="88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Реконструкција централног објекта ОШ Свети Сава и завршетак треће фазе објекта</w:t>
            </w:r>
          </w:p>
        </w:tc>
        <w:tc>
          <w:tcPr>
            <w:tcW w:w="1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145,000,000</w:t>
            </w:r>
          </w:p>
        </w:tc>
        <w:tc>
          <w:tcPr>
            <w:tcW w:w="1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3,500,000</w:t>
            </w:r>
          </w:p>
        </w:tc>
        <w:tc>
          <w:tcPr>
            <w:tcW w:w="27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9,500,000</w:t>
            </w:r>
          </w:p>
        </w:tc>
        <w:tc>
          <w:tcPr>
            <w:tcW w:w="244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132,000,000</w:t>
            </w:r>
          </w:p>
        </w:tc>
        <w:tc>
          <w:tcPr>
            <w:tcW w:w="22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990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Реконструкција техничке школе са изградњом ученичког дома, паркинг простора и отвореног игралишта</w:t>
            </w:r>
          </w:p>
        </w:tc>
        <w:tc>
          <w:tcPr>
            <w:tcW w:w="1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246,000,000</w:t>
            </w:r>
          </w:p>
        </w:tc>
        <w:tc>
          <w:tcPr>
            <w:tcW w:w="1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7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44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246,000,000</w:t>
            </w:r>
          </w:p>
        </w:tc>
        <w:tc>
          <w:tcPr>
            <w:tcW w:w="226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915" w:hRule="atLeast"/>
        </w:trPr>
        <w:tc>
          <w:tcPr>
            <w:tcW w:w="958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3</w:t>
            </w:r>
          </w:p>
        </w:tc>
        <w:tc>
          <w:tcPr>
            <w:tcW w:w="27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Реконструкција централног објекта ОШ Вук Караџић са котларницом и фискултурном салом</w:t>
            </w:r>
          </w:p>
        </w:tc>
        <w:tc>
          <w:tcPr>
            <w:tcW w:w="19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120,000,000</w:t>
            </w:r>
          </w:p>
        </w:tc>
        <w:tc>
          <w:tcPr>
            <w:tcW w:w="15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73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  <w:tc>
          <w:tcPr>
            <w:tcW w:w="244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120,000,000</w:t>
            </w:r>
          </w:p>
        </w:tc>
        <w:tc>
          <w:tcPr>
            <w:tcW w:w="2262" w:type="dxa"/>
            <w:gridSpan w:val="3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  <w:insideH w:val="single" w:sz="8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color w:val="000000"/>
                <w:lang w:val="sr-Latn-RS" w:eastAsia="sr-Latn-RS"/>
              </w:rPr>
            </w:pPr>
            <w:r>
              <w:rPr>
                <w:rFonts w:eastAsia="Times New Roman" w:cs="Calibri"/>
                <w:color w:val="000000"/>
                <w:lang w:val="sr-Latn-RS" w:eastAsia="sr-Latn-RS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32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1"/>
              <w:insideH w:val="single" w:sz="8" w:space="0" w:color="00000A"/>
              <w:insideV w:val="single" w:sz="8" w:space="0" w:color="000001"/>
            </w:tcBorders>
            <w:shd w:color="000000" w:fill="C4BD97" w:val="clear"/>
            <w:tcMar>
              <w:left w:w="88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УКУПНО:</w:t>
            </w:r>
          </w:p>
        </w:tc>
        <w:tc>
          <w:tcPr>
            <w:tcW w:w="194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000000" w:fill="C4BD97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1,108,600,000</w:t>
            </w:r>
          </w:p>
        </w:tc>
        <w:tc>
          <w:tcPr>
            <w:tcW w:w="154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000000" w:fill="C4BD97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155,350,000</w:t>
            </w:r>
          </w:p>
        </w:tc>
        <w:tc>
          <w:tcPr>
            <w:tcW w:w="273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000000" w:fill="C4BD97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100,500,000</w:t>
            </w:r>
          </w:p>
        </w:tc>
        <w:tc>
          <w:tcPr>
            <w:tcW w:w="2444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000000" w:fill="C4BD97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684,100,000</w:t>
            </w:r>
          </w:p>
        </w:tc>
        <w:tc>
          <w:tcPr>
            <w:tcW w:w="2262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  <w:insideH w:val="single" w:sz="8" w:space="0" w:color="00000A"/>
              <w:insideV w:val="single" w:sz="8" w:space="0" w:color="00000A"/>
            </w:tcBorders>
            <w:shd w:color="000000" w:fill="C4BD97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val="sr-Latn-RS" w:eastAsia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val="sr-Latn-RS" w:eastAsia="sr-Latn-RS"/>
              </w:rPr>
              <w:t>130,450,000</w:t>
            </w:r>
          </w:p>
        </w:tc>
      </w:tr>
    </w:tbl>
    <w:p>
      <w:pPr>
        <w:pStyle w:val="Normal"/>
        <w:tabs>
          <w:tab w:val="left" w:pos="4372" w:leader="none"/>
        </w:tabs>
        <w:rPr>
          <w:b/>
          <w:b/>
          <w:lang w:val="sr-CS"/>
        </w:rPr>
      </w:pPr>
      <w:r>
        <w:rPr>
          <w:b/>
          <w:lang w:val="sr-CS"/>
        </w:rPr>
      </w:r>
    </w:p>
    <w:p>
      <w:pPr>
        <w:pStyle w:val="Normal"/>
        <w:tabs>
          <w:tab w:val="left" w:pos="4372" w:leader="none"/>
        </w:tabs>
        <w:rPr>
          <w:lang w:val="sr-CS"/>
        </w:rPr>
      </w:pPr>
      <w:r>
        <w:rPr>
          <w:lang w:val="sr-CS"/>
        </w:rPr>
      </w:r>
    </w:p>
    <w:p>
      <w:pPr>
        <w:pStyle w:val="Normal"/>
        <w:tabs>
          <w:tab w:val="left" w:pos="4372" w:leader="none"/>
        </w:tabs>
        <w:spacing w:lineRule="auto" w:line="240" w:before="0" w:after="0"/>
        <w:jc w:val="center"/>
        <w:rPr>
          <w:b/>
          <w:b/>
          <w:i/>
          <w:i/>
          <w:lang w:val="sr-CS"/>
        </w:rPr>
      </w:pPr>
      <w:r>
        <w:rPr>
          <w:b/>
          <w:i/>
          <w:lang w:val="sr-CS"/>
        </w:rPr>
        <w:t>ОДЕЉЕЊЕ ЗА ФИНАНСИЈЕ И ПРИВРЕДУ</w:t>
      </w:r>
    </w:p>
    <w:p>
      <w:pPr>
        <w:pStyle w:val="Normal"/>
        <w:tabs>
          <w:tab w:val="left" w:pos="4372" w:leader="none"/>
        </w:tabs>
        <w:spacing w:lineRule="auto" w:line="240" w:before="0" w:after="0"/>
        <w:jc w:val="center"/>
        <w:rPr/>
      </w:pPr>
      <w:r>
        <w:rPr>
          <w:b/>
          <w:i/>
          <w:lang w:val="sr-CS"/>
        </w:rPr>
        <w:t>ОПШТИНСКЕ УПРАВЕ ВЛАДИЧИН ХАН</w:t>
      </w:r>
    </w:p>
    <w:sectPr>
      <w:footerReference w:type="default" r:id="rId62"/>
      <w:type w:val="nextPage"/>
      <w:pgSz w:orient="landscape" w:w="15840" w:h="12240"/>
      <w:pgMar w:left="1077" w:right="1440" w:header="0" w:top="1349" w:footer="720" w:bottom="116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Times New Roman">
    <w:charset w:val="ee"/>
    <w:family w:val="roman"/>
    <w:pitch w:val="variable"/>
  </w:font>
  <w:font w:name="TimesNewRomanPSMT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NewRomanPS-BoldMT">
    <w:charset w:val="ee"/>
    <w:family w:val="roman"/>
    <w:pitch w:val="variable"/>
  </w:font>
  <w:font w:name="TimesNewRomanPS-BoldItalicMT">
    <w:charset w:val="ee"/>
    <w:family w:val="roman"/>
    <w:pitch w:val="variable"/>
  </w:font>
  <w:font w:name="TimesNewRomanPS-ItalicMT">
    <w:charset w:val="ee"/>
    <w:family w:val="roman"/>
    <w:pitch w:val="variable"/>
  </w:font>
  <w:font w:name="Comic Sans MS">
    <w:charset w:val="ee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"/>
      </w:docPartObj>
      <w:id w:val="448967966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1</w:t>
        </w:r>
        <w: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"/>
      </w:docPartObj>
      <w:id w:val="1615433167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instrText> PAGE </w:instrText>
        </w:r>
        <w:r>
          <w:fldChar w:fldCharType="separate"/>
        </w:r>
        <w:r>
          <w:t>32</w:t>
        </w:r>
        <w: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825" w:hanging="465"/>
      </w:pPr>
      <w:rPr>
        <w:sz w:val="44"/>
        <w:b/>
        <w:szCs w:val="4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8"/>
        <w:spacing w:val="0"/>
        <w:i w:val="false"/>
        <w:u w:val="none"/>
        <w:b w:val="false"/>
        <w:szCs w:val="16"/>
        <w:iCs w:val="false"/>
        <w:bCs w:val="false"/>
        <w:w w:val="100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16"/>
  <w:displayBackgroundShape/>
  <w:defaultTabStop w:val="720"/>
  <w:compat>
    <w:compatSetting w:name="compatibilityMode" w:uri="http://schemas.microsoft.com/office/word" w:val="12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347d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9a76f7"/>
    <w:rPr>
      <w:rFonts w:ascii="Tahoma" w:hAnsi="Tahoma" w:cs="Tahoma"/>
      <w:sz w:val="16"/>
      <w:szCs w:val="16"/>
    </w:rPr>
  </w:style>
  <w:style w:type="character" w:styleId="BodyText1" w:customStyle="1">
    <w:name w:val="Body Text1"/>
    <w:basedOn w:val="DefaultParagraphFont"/>
    <w:qFormat/>
    <w:rsid w:val="00801229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</w:rPr>
  </w:style>
  <w:style w:type="character" w:styleId="BodytextItalic" w:customStyle="1">
    <w:name w:val="Body text + Italic"/>
    <w:basedOn w:val="DefaultParagraphFont"/>
    <w:qFormat/>
    <w:rsid w:val="00801229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16"/>
      <w:szCs w:val="16"/>
      <w:u w:val="none"/>
    </w:rPr>
  </w:style>
  <w:style w:type="character" w:styleId="Bodytext" w:customStyle="1">
    <w:name w:val="Body text_"/>
    <w:basedOn w:val="DefaultParagraphFont"/>
    <w:qFormat/>
    <w:rsid w:val="0082710b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6"/>
      <w:szCs w:val="16"/>
      <w:u w:val="none"/>
    </w:rPr>
  </w:style>
  <w:style w:type="character" w:styleId="Heading2" w:customStyle="1">
    <w:name w:val="Heading #2_"/>
    <w:basedOn w:val="DefaultParagraphFont"/>
    <w:link w:val="Heading20"/>
    <w:qFormat/>
    <w:rsid w:val="002b0545"/>
    <w:rPr>
      <w:rFonts w:ascii="Times New Roman" w:hAnsi="Times New Roman" w:eastAsia="Times New Roman" w:cs="Times New Roman"/>
      <w:sz w:val="42"/>
      <w:szCs w:val="42"/>
      <w:shd w:fill="FFFFFF" w:val="clear"/>
    </w:rPr>
  </w:style>
  <w:style w:type="character" w:styleId="Heading2Spacing0pt" w:customStyle="1">
    <w:name w:val="Heading #2 + Spacing 0 pt"/>
    <w:basedOn w:val="Heading2"/>
    <w:qFormat/>
    <w:rsid w:val="002b0545"/>
    <w:rPr>
      <w:rFonts w:ascii="Times New Roman" w:hAnsi="Times New Roman" w:eastAsia="Times New Roman" w:cs="Times New Roman"/>
      <w:color w:val="000000"/>
      <w:spacing w:val="0"/>
      <w:w w:val="100"/>
      <w:sz w:val="42"/>
      <w:szCs w:val="42"/>
      <w:shd w:fill="FFFFFF" w:val="clear"/>
    </w:rPr>
  </w:style>
  <w:style w:type="character" w:styleId="HeaderChar" w:customStyle="1">
    <w:name w:val="Header Char"/>
    <w:basedOn w:val="DefaultParagraphFont"/>
    <w:link w:val="Header"/>
    <w:uiPriority w:val="99"/>
    <w:semiHidden/>
    <w:qFormat/>
    <w:rsid w:val="00782f41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782f41"/>
    <w:rPr/>
  </w:style>
  <w:style w:type="character" w:styleId="ListLabel1">
    <w:name w:val="ListLabel 1"/>
    <w:qFormat/>
    <w:rPr>
      <w:rFonts w:ascii="TimesNewRomanPSMT" w:hAnsi="TimesNewRomanPSMT" w:cs="TimesNewRomanPS-BoldMT"/>
      <w:b/>
      <w:sz w:val="44"/>
      <w:szCs w:val="48"/>
    </w:rPr>
  </w:style>
  <w:style w:type="character" w:styleId="ListLabel2">
    <w:name w:val="ListLabel 2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8"/>
      <w:szCs w:val="16"/>
      <w:u w:val="none"/>
    </w:rPr>
  </w:style>
  <w:style w:type="character" w:styleId="ListLabel3">
    <w:name w:val="ListLabel 3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42"/>
      <w:szCs w:val="42"/>
      <w:u w:val="none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Calibri" w:cs="Times New Roman"/>
    </w:rPr>
  </w:style>
  <w:style w:type="character" w:styleId="ListLabel6">
    <w:name w:val="ListLabel 6"/>
    <w:qFormat/>
    <w:rPr>
      <w:rFonts w:ascii="TimesNewRomanPSMT" w:hAnsi="TimesNewRomanPSMT"/>
      <w:b/>
      <w:sz w:val="44"/>
      <w:szCs w:val="48"/>
    </w:rPr>
  </w:style>
  <w:style w:type="character" w:styleId="ListLabel7">
    <w:name w:val="ListLabel 7"/>
    <w:qFormat/>
    <w:rPr>
      <w:rFonts w:ascii="Calibri" w:hAnsi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w w:val="100"/>
      <w:sz w:val="28"/>
      <w:szCs w:val="16"/>
      <w:u w:val="none"/>
    </w:rPr>
  </w:style>
  <w:style w:type="character" w:styleId="ListLabel8">
    <w:name w:val="ListLabel 8"/>
    <w:qFormat/>
    <w:rPr>
      <w:rFonts w:ascii="Times New Roman" w:hAnsi="Times New Roman" w:cs="Symbol"/>
      <w:sz w:val="24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Wingdings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a76f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2127"/>
    <w:pPr>
      <w:spacing w:before="0" w:after="200"/>
      <w:ind w:left="720" w:hanging="0"/>
      <w:contextualSpacing/>
    </w:pPr>
    <w:rPr/>
  </w:style>
  <w:style w:type="paragraph" w:styleId="Heading21" w:customStyle="1">
    <w:name w:val="Heading #2"/>
    <w:basedOn w:val="Normal"/>
    <w:link w:val="Heading2"/>
    <w:qFormat/>
    <w:rsid w:val="002b0545"/>
    <w:pPr>
      <w:widowControl w:val="false"/>
      <w:shd w:val="clear" w:color="auto" w:fill="FFFFFF"/>
      <w:spacing w:lineRule="auto" w:line="240" w:before="360" w:after="0"/>
      <w:outlineLvl w:val="1"/>
    </w:pPr>
    <w:rPr>
      <w:rFonts w:ascii="Times New Roman" w:hAnsi="Times New Roman" w:eastAsia="Times New Roman" w:cs="Times New Roman"/>
      <w:sz w:val="42"/>
      <w:szCs w:val="42"/>
    </w:rPr>
  </w:style>
  <w:style w:type="paragraph" w:styleId="Header">
    <w:name w:val="Header"/>
    <w:basedOn w:val="Normal"/>
    <w:link w:val="HeaderChar"/>
    <w:uiPriority w:val="99"/>
    <w:semiHidden/>
    <w:unhideWhenUsed/>
    <w:rsid w:val="00782f41"/>
    <w:pPr>
      <w:tabs>
        <w:tab w:val="center" w:pos="4703" w:leader="none"/>
        <w:tab w:val="right" w:pos="940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782f41"/>
    <w:pPr>
      <w:tabs>
        <w:tab w:val="center" w:pos="4703" w:leader="none"/>
        <w:tab w:val="right" w:pos="9406" w:leader="none"/>
      </w:tabs>
      <w:spacing w:lineRule="auto" w:line="240" w:before="0" w:after="0"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chart" Target="charts/chart1.xml"/><Relationship Id="rId7" Type="http://schemas.openxmlformats.org/officeDocument/2006/relationships/chart" Target="charts/chart2.xml"/><Relationship Id="rId8" Type="http://schemas.openxmlformats.org/officeDocument/2006/relationships/chart" Target="charts/chart3.xml"/><Relationship Id="rId9" Type="http://schemas.openxmlformats.org/officeDocument/2006/relationships/chart" Target="charts/chart4.xml"/><Relationship Id="rId10" Type="http://schemas.openxmlformats.org/officeDocument/2006/relationships/chart" Target="charts/chart5.xml"/><Relationship Id="rId11" Type="http://schemas.openxmlformats.org/officeDocument/2006/relationships/chart" Target="charts/chart6.xml"/><Relationship Id="rId12" Type="http://schemas.openxmlformats.org/officeDocument/2006/relationships/diagramData" Target="diagrams/data150.xml"/><Relationship Id="rId13" Type="http://schemas.openxmlformats.org/officeDocument/2006/relationships/diagramLayout" Target="diagrams/layout150.xml"/><Relationship Id="rId14" Type="http://schemas.openxmlformats.org/officeDocument/2006/relationships/diagramQuickStyle" Target="diagrams/quickStyle150.xml"/><Relationship Id="rId15" Type="http://schemas.openxmlformats.org/officeDocument/2006/relationships/diagramColors" Target="diagrams/colors150.xml"/><Relationship Id="rId16" Type="http://schemas.microsoft.com/office/2007/relationships/diagramDrawing" Target="diagrams/drawing150.xml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diagramData" Target="diagrams/data153.xml"/><Relationship Id="rId20" Type="http://schemas.openxmlformats.org/officeDocument/2006/relationships/diagramLayout" Target="diagrams/layout153.xml"/><Relationship Id="rId21" Type="http://schemas.openxmlformats.org/officeDocument/2006/relationships/diagramQuickStyle" Target="diagrams/quickStyle153.xml"/><Relationship Id="rId22" Type="http://schemas.openxmlformats.org/officeDocument/2006/relationships/diagramColors" Target="diagrams/colors153.xml"/><Relationship Id="rId23" Type="http://schemas.microsoft.com/office/2007/relationships/diagramDrawing" Target="diagrams/drawing153.xml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diagramData" Target="diagrams/data157.xml"/><Relationship Id="rId28" Type="http://schemas.openxmlformats.org/officeDocument/2006/relationships/diagramLayout" Target="diagrams/layout157.xml"/><Relationship Id="rId29" Type="http://schemas.openxmlformats.org/officeDocument/2006/relationships/diagramQuickStyle" Target="diagrams/quickStyle157.xml"/><Relationship Id="rId30" Type="http://schemas.openxmlformats.org/officeDocument/2006/relationships/diagramColors" Target="diagrams/colors157.xml"/><Relationship Id="rId31" Type="http://schemas.microsoft.com/office/2007/relationships/diagramDrawing" Target="diagrams/drawing157.xml"/><Relationship Id="rId32" Type="http://schemas.openxmlformats.org/officeDocument/2006/relationships/diagramData" Target="diagrams/data158.xml"/><Relationship Id="rId33" Type="http://schemas.openxmlformats.org/officeDocument/2006/relationships/diagramLayout" Target="diagrams/layout158.xml"/><Relationship Id="rId34" Type="http://schemas.openxmlformats.org/officeDocument/2006/relationships/diagramQuickStyle" Target="diagrams/quickStyle158.xml"/><Relationship Id="rId35" Type="http://schemas.openxmlformats.org/officeDocument/2006/relationships/diagramColors" Target="diagrams/colors158.xml"/><Relationship Id="rId36" Type="http://schemas.microsoft.com/office/2007/relationships/diagramDrawing" Target="diagrams/drawing158.xml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image" Target="media/image15.jpeg"/><Relationship Id="rId43" Type="http://schemas.openxmlformats.org/officeDocument/2006/relationships/image" Target="media/image16.jpeg"/><Relationship Id="rId44" Type="http://schemas.openxmlformats.org/officeDocument/2006/relationships/image" Target="media/image17.jpeg"/><Relationship Id="rId45" Type="http://schemas.openxmlformats.org/officeDocument/2006/relationships/image" Target="media/image18.jpeg"/><Relationship Id="rId46" Type="http://schemas.openxmlformats.org/officeDocument/2006/relationships/image" Target="media/image19.png"/><Relationship Id="rId47" Type="http://schemas.openxmlformats.org/officeDocument/2006/relationships/diagramData" Target="diagrams/data169.xml"/><Relationship Id="rId48" Type="http://schemas.openxmlformats.org/officeDocument/2006/relationships/diagramLayout" Target="diagrams/layout169.xml"/><Relationship Id="rId49" Type="http://schemas.openxmlformats.org/officeDocument/2006/relationships/diagramQuickStyle" Target="diagrams/quickStyle169.xml"/><Relationship Id="rId50" Type="http://schemas.openxmlformats.org/officeDocument/2006/relationships/diagramColors" Target="diagrams/colors169.xml"/><Relationship Id="rId51" Type="http://schemas.microsoft.com/office/2007/relationships/diagramDrawing" Target="diagrams/drawing169.xml"/><Relationship Id="rId52" Type="http://schemas.openxmlformats.org/officeDocument/2006/relationships/image" Target="media/image20.jpeg"/><Relationship Id="rId53" Type="http://schemas.openxmlformats.org/officeDocument/2006/relationships/image" Target="media/image21.jpeg"/><Relationship Id="rId54" Type="http://schemas.openxmlformats.org/officeDocument/2006/relationships/image" Target="media/image22.jpeg"/><Relationship Id="rId55" Type="http://schemas.openxmlformats.org/officeDocument/2006/relationships/chart" Target="charts/chart7.xml"/><Relationship Id="rId56" Type="http://schemas.openxmlformats.org/officeDocument/2006/relationships/chart" Target="charts/chart8.xml"/><Relationship Id="rId57" Type="http://schemas.openxmlformats.org/officeDocument/2006/relationships/chart" Target="charts/chart9.xml"/><Relationship Id="rId58" Type="http://schemas.openxmlformats.org/officeDocument/2006/relationships/chart" Target="charts/chart10.xml"/><Relationship Id="rId59" Type="http://schemas.openxmlformats.org/officeDocument/2006/relationships/chart" Target="charts/chart11.xml"/><Relationship Id="rId60" Type="http://schemas.openxmlformats.org/officeDocument/2006/relationships/chart" Target="charts/chart12.xml"/><Relationship Id="rId61" Type="http://schemas.openxmlformats.org/officeDocument/2006/relationships/footer" Target="footer1.xml"/><Relationship Id="rId62" Type="http://schemas.openxmlformats.org/officeDocument/2006/relationships/footer" Target="footer2.xml"/><Relationship Id="rId63" Type="http://schemas.openxmlformats.org/officeDocument/2006/relationships/numbering" Target="numbering.xml"/><Relationship Id="rId64" Type="http://schemas.openxmlformats.org/officeDocument/2006/relationships/fontTable" Target="fontTable.xml"/><Relationship Id="rId65" Type="http://schemas.openxmlformats.org/officeDocument/2006/relationships/settings" Target="settings.xml"/><Relationship Id="rId66" Type="http://schemas.openxmlformats.org/officeDocument/2006/relationships/theme" Target="theme/theme1.xml"/><Relationship Id="rId67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1.xlsx"/>
</Relationships>
</file>

<file path=word/charts/_rels/chart10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8.xlsx"/>
</Relationships>
</file>

<file path=word/charts/_rels/chart11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9.xlsx"/>
</Relationships>
</file>

<file path=word/charts/_rels/chart12.xml.rels><?xml version="1.0" encoding="UTF-8"?>
<Relationships xmlns="http://schemas.openxmlformats.org/package/2006/relationships"><Relationship Id="rId1" Type="http://schemas.openxmlformats.org/officeDocument/2006/relationships/oleObject" Target="../embeddings/oleObject1.bin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3.xlsx"/>
</Relationships>
</file>

<file path=word/charts/_rels/chart6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4.xlsx"/>
</Relationships>
</file>

<file path=word/charts/_rels/chart7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5.xlsx"/>
</Relationships>
</file>

<file path=word/charts/_rels/chart8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6.xlsx"/>
</Relationships>
</file>

<file path=word/charts/_rels/chart9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7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/>
      <c:barChart>
        <c:barDir val="bar"/>
        <c:grouping val="stacked"/>
        <c:ser>
          <c:idx val="0"/>
          <c:order val="0"/>
          <c:tx>
            <c:strRef>
              <c:f>label 0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f273af"/>
            </a:solidFill>
            <a:ln>
              <a:noFill/>
            </a:ln>
          </c:spPr>
          <c:dLbls>
            <c:dLblPos val="ctr"/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6"/>
                <c:pt idx="0">
                  <c:v>Порески приходи </c:v>
                </c:pt>
                <c:pt idx="1">
                  <c:v>Трансфери Републике</c:v>
                </c:pt>
                <c:pt idx="2">
                  <c:v>Други приходи </c:v>
                </c:pt>
                <c:pt idx="3">
                  <c:v>Приходи од продаје имовине</c:v>
                </c:pt>
                <c:pt idx="4">
                  <c:v>Меморандумске ставке</c:v>
                </c:pt>
                <c:pt idx="5">
                  <c:v>Приходи из 2025. године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553174000</c:v>
                </c:pt>
                <c:pt idx="1">
                  <c:v>340000000</c:v>
                </c:pt>
                <c:pt idx="2">
                  <c:v>37356000</c:v>
                </c:pt>
                <c:pt idx="3">
                  <c:v>1000000</c:v>
                </c:pt>
                <c:pt idx="4">
                  <c:v>1500000</c:v>
                </c:pt>
                <c:pt idx="5">
                  <c:v>68550000</c:v>
                </c:pt>
              </c:numCache>
            </c:numRef>
          </c:val>
        </c:ser>
        <c:gapWidth val="75"/>
        <c:overlap val="100"/>
        <c:axId val="91126582"/>
        <c:axId val="98841728"/>
      </c:barChart>
      <c:catAx>
        <c:axId val="9112658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98841728"/>
        <c:crosses val="autoZero"/>
        <c:auto val="1"/>
        <c:lblAlgn val="ctr"/>
        <c:lblOffset val="100"/>
      </c:catAx>
      <c:valAx>
        <c:axId val="98841728"/>
        <c:scaling>
          <c:orientation val="minMax"/>
        </c:scaling>
        <c:delete val="0"/>
        <c:axPos val="l"/>
        <c:majorGridlines>
          <c:spPr>
            <a:ln w="9360">
              <a:solidFill>
                <a:srgbClr val="666666"/>
              </a:solidFill>
              <a:round/>
            </a:ln>
          </c:spPr>
        </c:majorGridlines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91126582"/>
        <c:crosses val="autoZero"/>
      </c:valAx>
      <c:spPr>
        <a:solidFill>
          <a:srgbClr val="ff6699"/>
        </a:solidFill>
        <a:ln>
          <a:noFill/>
        </a:ln>
      </c:spPr>
    </c:plotArea>
    <c:plotVisOnly val="1"/>
  </c:chart>
  <c:spPr>
    <a:solidFill>
      <a:srgbClr val="00cc99"/>
    </a:solidFill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view3D>
      <c:rotX val="30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7fd13b"/>
            </a:solidFill>
            <a:ln>
              <a:noFill/>
            </a:ln>
          </c:spPr>
          <c:explosion val="25"/>
          <c:dPt>
            <c:idx val="0"/>
            <c:spPr>
              <a:solidFill>
                <a:srgbClr val="69ad30"/>
              </a:solidFill>
              <a:ln>
                <a:noFill/>
              </a:ln>
            </c:spPr>
          </c:dPt>
          <c:dPt>
            <c:idx val="1"/>
            <c:spPr>
              <a:solidFill>
                <a:srgbClr val="c21165"/>
              </a:solidFill>
              <a:ln>
                <a:noFill/>
              </a:ln>
            </c:spPr>
          </c:dPt>
          <c:dPt>
            <c:idx val="2"/>
            <c:spPr>
              <a:solidFill>
                <a:srgbClr val="d29808"/>
              </a:solidFill>
              <a:ln>
                <a:noFill/>
              </a:ln>
            </c:spPr>
          </c:dPt>
          <c:dPt>
            <c:idx val="3"/>
            <c:spPr>
              <a:solidFill>
                <a:srgbClr val="008fb6"/>
              </a:solidFill>
              <a:ln>
                <a:noFill/>
              </a:ln>
            </c:spPr>
          </c:dPt>
          <c:dPt>
            <c:idx val="4"/>
            <c:spPr>
              <a:solidFill>
                <a:srgbClr val="5f72a5"/>
              </a:solidFill>
              <a:ln>
                <a:noFill/>
              </a:ln>
            </c:spPr>
          </c:dPt>
          <c:dPt>
            <c:idx val="5"/>
            <c:spPr>
              <a:solidFill>
                <a:srgbClr val="159483"/>
              </a:solidFill>
              <a:ln>
                <a:noFill/>
              </a:ln>
            </c:spPr>
          </c:dPt>
          <c:dPt>
            <c:idx val="6"/>
            <c:spPr>
              <a:solidFill>
                <a:srgbClr val="7fd13b"/>
              </a:solidFill>
              <a:ln>
                <a:noFill/>
              </a:ln>
            </c:spPr>
          </c:dPt>
          <c:dPt>
            <c:idx val="7"/>
            <c:spPr>
              <a:solidFill>
                <a:srgbClr val="ea157a"/>
              </a:solidFill>
              <a:ln>
                <a:noFill/>
              </a:ln>
            </c:spPr>
          </c:dPt>
          <c:dPt>
            <c:idx val="8"/>
            <c:spPr>
              <a:solidFill>
                <a:srgbClr val="feb80a"/>
              </a:solidFill>
              <a:ln>
                <a:noFill/>
              </a:ln>
            </c:spPr>
          </c:dPt>
          <c:dPt>
            <c:idx val="9"/>
            <c:spPr>
              <a:solidFill>
                <a:srgbClr val="00addc"/>
              </a:solidFill>
              <a:ln>
                <a:noFill/>
              </a:ln>
            </c:spPr>
          </c:dPt>
          <c:dPt>
            <c:idx val="10"/>
            <c:spPr>
              <a:solidFill>
                <a:srgbClr val="738ac8"/>
              </a:solidFill>
              <a:ln>
                <a:noFill/>
              </a:ln>
            </c:spPr>
          </c:dPt>
          <c:dPt>
            <c:idx val="11"/>
            <c:spPr>
              <a:solidFill>
                <a:srgbClr val="1ab39f"/>
              </a:solidFill>
              <a:ln>
                <a:noFill/>
              </a:ln>
            </c:spPr>
          </c:dPt>
          <c:dPt>
            <c:idx val="12"/>
            <c:spPr>
              <a:solidFill>
                <a:srgbClr val="b9e2a5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6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7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8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9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1"/>
          </c:dLbls>
          <c:cat>
            <c:strRef>
              <c:f>categories</c:f>
              <c:strCache>
                <c:ptCount val="13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трошкови путовања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ученичке награде</c:v>
                </c:pt>
                <c:pt idx="10">
                  <c:v>порези, таксе и пенали</c:v>
                </c:pt>
                <c:pt idx="11">
                  <c:v>капитална улагања</c:v>
                </c:pt>
                <c:pt idx="12">
                  <c:v>књиге и опрема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3"/>
                <c:pt idx="0">
                  <c:v>17901010</c:v>
                </c:pt>
                <c:pt idx="1">
                  <c:v>3304000</c:v>
                </c:pt>
                <c:pt idx="2">
                  <c:v>5220950</c:v>
                </c:pt>
                <c:pt idx="3">
                  <c:v>16830010</c:v>
                </c:pt>
                <c:pt idx="4">
                  <c:v>14000000</c:v>
                </c:pt>
                <c:pt idx="5">
                  <c:v>3985000</c:v>
                </c:pt>
                <c:pt idx="6">
                  <c:v>1510000</c:v>
                </c:pt>
                <c:pt idx="7">
                  <c:v>2350000</c:v>
                </c:pt>
                <c:pt idx="8">
                  <c:v>6648000</c:v>
                </c:pt>
                <c:pt idx="9">
                  <c:v>103000</c:v>
                </c:pt>
                <c:pt idx="10">
                  <c:v>392030</c:v>
                </c:pt>
                <c:pt idx="11">
                  <c:v>6686000</c:v>
                </c:pt>
                <c:pt idx="12">
                  <c:v>70000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</c:chart>
  <c:spPr>
    <a:solidFill>
      <a:srgbClr val="996633"/>
    </a:solidFill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/>
      <c:lineChart>
        <c:grouping val="standard"/>
        <c:ser>
          <c:idx val="0"/>
          <c:order val="0"/>
          <c:tx>
            <c:strRef>
              <c:f>label 0</c:f>
              <c:strCache>
                <c:ptCount val="1"/>
                <c:pt idx="0">
                  <c:v>Гиманзија Јован Скерлић</c:v>
                </c:pt>
              </c:strCache>
            </c:strRef>
          </c:tx>
          <c:spPr>
            <a:solidFill>
              <a:srgbClr val="5d9c29"/>
            </a:solidFill>
            <a:ln w="28440">
              <a:solidFill>
                <a:srgbClr val="5d9c29"/>
              </a:solidFill>
              <a:round/>
            </a:ln>
          </c:spPr>
          <c:marker>
            <c:symbol val="square"/>
            <c:size val="5"/>
            <c:spPr>
              <a:solidFill>
                <a:srgbClr val="ee4000"/>
              </a:solidFill>
            </c:spPr>
          </c:marker>
          <c:dLbls>
            <c:dLblPos val="r"/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2"/>
                <c:pt idx="0">
                  <c:v>2026</c:v>
                </c:pt>
                <c:pt idx="1">
                  <c:v>2025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17000000</c:v>
                </c:pt>
                <c:pt idx="1">
                  <c:v>16000000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Техничка школа</c:v>
                </c:pt>
              </c:strCache>
            </c:strRef>
          </c:tx>
          <c:spPr>
            <a:solidFill>
              <a:srgbClr val="af0d5a"/>
            </a:solidFill>
            <a:ln w="28440">
              <a:solidFill>
                <a:srgbClr val="af0d5a"/>
              </a:solidFill>
              <a:round/>
            </a:ln>
          </c:spPr>
          <c:marker>
            <c:symbol val="square"/>
            <c:size val="5"/>
            <c:spPr>
              <a:solidFill>
                <a:srgbClr val="ee4000"/>
              </a:solidFill>
            </c:spPr>
          </c:marker>
          <c:dLbls>
            <c:dLblPos val="r"/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2"/>
                <c:pt idx="0">
                  <c:v>2026</c:v>
                </c:pt>
                <c:pt idx="1">
                  <c:v>2025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18000000</c:v>
                </c:pt>
                <c:pt idx="1">
                  <c:v>16000000</c:v>
                </c:pt>
              </c:numCache>
            </c:numRef>
          </c:val>
          <c:smooth val="0"/>
        </c:ser>
        <c:hiLowLines>
          <c:spPr>
            <a:ln>
              <a:noFill/>
            </a:ln>
          </c:spPr>
        </c:hiLowLines>
        <c:upDownBars>
          <c:gapWidth val="150"/>
          <c:upBars/>
          <c:downBars/>
        </c:upDownBars>
        <c:marker val="1"/>
        <c:axId val="10699007"/>
        <c:axId val="34238837"/>
      </c:lineChart>
      <c:catAx>
        <c:axId val="10699007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34238837"/>
        <c:crosses val="autoZero"/>
        <c:auto val="1"/>
        <c:lblAlgn val="ctr"/>
        <c:lblOffset val="100"/>
      </c:catAx>
      <c:valAx>
        <c:axId val="34238837"/>
        <c:scaling>
          <c:orientation val="minMax"/>
        </c:scaling>
        <c:delete val="0"/>
        <c:axPos val="l"/>
        <c:majorGridlines>
          <c:spPr>
            <a:ln w="9360">
              <a:solidFill>
                <a:srgbClr val="666666"/>
              </a:solidFill>
              <a:round/>
            </a:ln>
          </c:spPr>
        </c:majorGridlines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10699007"/>
        <c:crosses val="autoZero"/>
      </c:valAx>
      <c:dTable>
        <c:showHorzBorder val="1"/>
        <c:showVertBorder val="1"/>
        <c:showOutline val="1"/>
      </c:dTable>
      <c:spPr>
        <a:solidFill>
          <a:srgbClr val="003f75"/>
        </a:solidFill>
        <a:ln>
          <a:noFill/>
        </a:ln>
      </c:spPr>
    </c:plotArea>
    <c:plotVisOnly val="1"/>
  </c:chart>
  <c:spPr>
    <a:solidFill>
      <a:srgbClr val="ffffff"/>
    </a:solidFill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view3D>
      <c:rotX val="30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7fd13b"/>
            </a:solidFill>
            <a:ln>
              <a:noFill/>
            </a:ln>
          </c:spPr>
          <c:explosion val="25"/>
          <c:dPt>
            <c:idx val="0"/>
            <c:spPr>
              <a:solidFill>
                <a:srgbClr val="71ba34"/>
              </a:solidFill>
              <a:ln>
                <a:noFill/>
              </a:ln>
            </c:spPr>
          </c:dPt>
          <c:dPt>
            <c:idx val="1"/>
            <c:spPr>
              <a:solidFill>
                <a:srgbClr val="d0126c"/>
              </a:solidFill>
              <a:ln>
                <a:noFill/>
              </a:ln>
            </c:spPr>
          </c:dPt>
          <c:dPt>
            <c:idx val="2"/>
            <c:spPr>
              <a:solidFill>
                <a:srgbClr val="e2a308"/>
              </a:solidFill>
              <a:ln>
                <a:noFill/>
              </a:ln>
            </c:spPr>
          </c:dPt>
          <c:dPt>
            <c:idx val="3"/>
            <c:spPr>
              <a:solidFill>
                <a:srgbClr val="009ac3"/>
              </a:solidFill>
              <a:ln>
                <a:noFill/>
              </a:ln>
            </c:spPr>
          </c:dPt>
          <c:dPt>
            <c:idx val="4"/>
            <c:spPr>
              <a:solidFill>
                <a:srgbClr val="667ab2"/>
              </a:solidFill>
              <a:ln>
                <a:noFill/>
              </a:ln>
            </c:spPr>
          </c:dPt>
          <c:dPt>
            <c:idx val="5"/>
            <c:spPr>
              <a:solidFill>
                <a:srgbClr val="179f8d"/>
              </a:solidFill>
              <a:ln>
                <a:noFill/>
              </a:ln>
            </c:spPr>
          </c:dPt>
          <c:dPt>
            <c:idx val="6"/>
            <c:spPr>
              <a:solidFill>
                <a:srgbClr val="a8dc8d"/>
              </a:solidFill>
              <a:ln>
                <a:noFill/>
              </a:ln>
            </c:spPr>
          </c:dPt>
          <c:dPt>
            <c:idx val="7"/>
            <c:spPr>
              <a:solidFill>
                <a:srgbClr val="ef88a6"/>
              </a:solidFill>
              <a:ln>
                <a:noFill/>
              </a:ln>
            </c:spPr>
          </c:dPt>
          <c:dPt>
            <c:idx val="8"/>
            <c:spPr>
              <a:solidFill>
                <a:srgbClr val="fecb87"/>
              </a:solidFill>
              <a:ln>
                <a:noFill/>
              </a:ln>
            </c:spPr>
          </c:dPt>
          <c:dPt>
            <c:idx val="9"/>
            <c:spPr>
              <a:solidFill>
                <a:srgbClr val="87c4e4"/>
              </a:solidFill>
              <a:ln>
                <a:noFill/>
              </a:ln>
            </c:spPr>
          </c:dPt>
          <c:dPt>
            <c:idx val="10"/>
            <c:spPr>
              <a:solidFill>
                <a:srgbClr val="a2aed6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6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7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8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9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1"/>
          </c:dLbls>
          <c:cat>
            <c:strRef>
              <c:f>categories</c:f>
              <c:strCache>
                <c:ptCount val="11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превоз ученика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ученичке награде и ужине</c:v>
                </c:pt>
                <c:pt idx="10">
                  <c:v>таксе и судска извршења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1"/>
                <c:pt idx="0">
                  <c:v>7500000</c:v>
                </c:pt>
                <c:pt idx="1">
                  <c:v>2900000</c:v>
                </c:pt>
                <c:pt idx="2">
                  <c:v>3500000</c:v>
                </c:pt>
                <c:pt idx="3">
                  <c:v>8830000</c:v>
                </c:pt>
                <c:pt idx="4">
                  <c:v>950000</c:v>
                </c:pt>
                <c:pt idx="5">
                  <c:v>3210000</c:v>
                </c:pt>
                <c:pt idx="6">
                  <c:v>320000</c:v>
                </c:pt>
                <c:pt idx="7">
                  <c:v>1000000</c:v>
                </c:pt>
                <c:pt idx="8">
                  <c:v>4970000</c:v>
                </c:pt>
                <c:pt idx="9">
                  <c:v>100000</c:v>
                </c:pt>
                <c:pt idx="10">
                  <c:v>120000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ea157a"/>
            </a:solidFill>
            <a:ln>
              <a:noFill/>
            </a:ln>
          </c:spPr>
          <c:explosion val="25"/>
          <c:dPt>
            <c:idx val="0"/>
            <c:spPr>
              <a:solidFill>
                <a:srgbClr val="71ba34"/>
              </a:solidFill>
              <a:ln>
                <a:noFill/>
              </a:ln>
            </c:spPr>
          </c:dPt>
          <c:dPt>
            <c:idx val="1"/>
            <c:spPr>
              <a:solidFill>
                <a:srgbClr val="d0126c"/>
              </a:solidFill>
              <a:ln>
                <a:noFill/>
              </a:ln>
            </c:spPr>
          </c:dPt>
          <c:dPt>
            <c:idx val="2"/>
            <c:spPr>
              <a:solidFill>
                <a:srgbClr val="e2a308"/>
              </a:solidFill>
              <a:ln>
                <a:noFill/>
              </a:ln>
            </c:spPr>
          </c:dPt>
          <c:dPt>
            <c:idx val="3"/>
            <c:spPr>
              <a:solidFill>
                <a:srgbClr val="009ac3"/>
              </a:solidFill>
              <a:ln>
                <a:noFill/>
              </a:ln>
            </c:spPr>
          </c:dPt>
          <c:dPt>
            <c:idx val="4"/>
            <c:spPr>
              <a:solidFill>
                <a:srgbClr val="667ab2"/>
              </a:solidFill>
              <a:ln>
                <a:noFill/>
              </a:ln>
            </c:spPr>
          </c:dPt>
          <c:dPt>
            <c:idx val="5"/>
            <c:spPr>
              <a:solidFill>
                <a:srgbClr val="179f8d"/>
              </a:solidFill>
              <a:ln>
                <a:noFill/>
              </a:ln>
            </c:spPr>
          </c:dPt>
          <c:dPt>
            <c:idx val="6"/>
            <c:spPr>
              <a:solidFill>
                <a:srgbClr val="a8dc8d"/>
              </a:solidFill>
              <a:ln>
                <a:noFill/>
              </a:ln>
            </c:spPr>
          </c:dPt>
          <c:dPt>
            <c:idx val="7"/>
            <c:spPr>
              <a:solidFill>
                <a:srgbClr val="ef88a6"/>
              </a:solidFill>
              <a:ln>
                <a:noFill/>
              </a:ln>
            </c:spPr>
          </c:dPt>
          <c:dPt>
            <c:idx val="8"/>
            <c:spPr>
              <a:solidFill>
                <a:srgbClr val="fecb87"/>
              </a:solidFill>
              <a:ln>
                <a:noFill/>
              </a:ln>
            </c:spPr>
          </c:dPt>
          <c:dPt>
            <c:idx val="9"/>
            <c:spPr>
              <a:solidFill>
                <a:srgbClr val="87c4e4"/>
              </a:solidFill>
              <a:ln>
                <a:noFill/>
              </a:ln>
            </c:spPr>
          </c:dPt>
          <c:dPt>
            <c:idx val="10"/>
            <c:spPr>
              <a:solidFill>
                <a:srgbClr val="a2aed6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6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7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8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9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1"/>
          </c:dLbls>
          <c:cat>
            <c:strRef>
              <c:f>categories</c:f>
              <c:strCache>
                <c:ptCount val="11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превоз ученика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ученичке награде и ужине</c:v>
                </c:pt>
                <c:pt idx="10">
                  <c:v>таксе и судска извршења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11"/>
                <c:pt idx="0">
                  <c:v>21.4285714285714</c:v>
                </c:pt>
                <c:pt idx="1">
                  <c:v>8.28571428571429</c:v>
                </c:pt>
                <c:pt idx="2">
                  <c:v>10</c:v>
                </c:pt>
                <c:pt idx="3">
                  <c:v>25.2285714285714</c:v>
                </c:pt>
                <c:pt idx="4">
                  <c:v>2.71428571428571</c:v>
                </c:pt>
                <c:pt idx="5">
                  <c:v>9.17142857142857</c:v>
                </c:pt>
                <c:pt idx="6">
                  <c:v>0.914285714285714</c:v>
                </c:pt>
                <c:pt idx="7">
                  <c:v>2.85714285714286</c:v>
                </c:pt>
                <c:pt idx="8">
                  <c:v>14.2</c:v>
                </c:pt>
                <c:pt idx="9">
                  <c:v>0.285714285714286</c:v>
                </c:pt>
                <c:pt idx="10">
                  <c:v>0.342857142857143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</c:chart>
  <c:spPr>
    <a:solidFill>
      <a:srgbClr val="f273af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view3D>
      <c:rotX val="7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ea157a"/>
            </a:solidFill>
            <a:ln>
              <a:noFill/>
            </a:ln>
          </c:spPr>
          <c:explosion val="25"/>
          <c:dPt>
            <c:idx val="0"/>
            <c:spPr>
              <a:solidFill>
                <a:srgbClr val="ad0f5a"/>
              </a:solidFill>
              <a:ln>
                <a:noFill/>
              </a:ln>
            </c:spPr>
          </c:dPt>
          <c:dPt>
            <c:idx val="1"/>
            <c:spPr>
              <a:solidFill>
                <a:srgbClr val="c81168"/>
              </a:solidFill>
              <a:ln>
                <a:noFill/>
              </a:ln>
            </c:spPr>
          </c:dPt>
          <c:dPt>
            <c:idx val="2"/>
            <c:spPr>
              <a:solidFill>
                <a:srgbClr val="df1474"/>
              </a:solidFill>
              <a:ln>
                <a:noFill/>
              </a:ln>
            </c:spPr>
          </c:dPt>
          <c:dPt>
            <c:idx val="3"/>
            <c:spPr>
              <a:solidFill>
                <a:srgbClr val="ec5e8f"/>
              </a:solidFill>
              <a:ln>
                <a:noFill/>
              </a:ln>
            </c:spPr>
          </c:dPt>
          <c:dPt>
            <c:idx val="4"/>
            <c:spPr>
              <a:solidFill>
                <a:srgbClr val="f097b0"/>
              </a:solidFill>
              <a:ln>
                <a:noFill/>
              </a:ln>
            </c:spPr>
          </c:dPt>
          <c:dPt>
            <c:idx val="5"/>
            <c:spPr>
              <a:solidFill>
                <a:srgbClr val="f4bcca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1"/>
          </c:dLbls>
          <c:cat>
            <c:strRef>
              <c:f>categories</c:f>
              <c:strCache>
                <c:ptCount val="6"/>
                <c:pt idx="0">
                  <c:v>трансфери</c:v>
                </c:pt>
                <c:pt idx="1">
                  <c:v>Меморандумске ставке</c:v>
                </c:pt>
                <c:pt idx="2">
                  <c:v>порески приходи </c:v>
                </c:pt>
                <c:pt idx="3">
                  <c:v>остали приходи </c:v>
                </c:pt>
                <c:pt idx="4">
                  <c:v>пренети приходи из 2025. године</c:v>
                </c:pt>
                <c:pt idx="5">
                  <c:v>приходи од продаје имовине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340000000</c:v>
                </c:pt>
                <c:pt idx="1">
                  <c:v>1500000</c:v>
                </c:pt>
                <c:pt idx="2">
                  <c:v>553174000</c:v>
                </c:pt>
                <c:pt idx="3">
                  <c:v>37356000</c:v>
                </c:pt>
                <c:pt idx="4">
                  <c:v>68550000</c:v>
                </c:pt>
                <c:pt idx="5">
                  <c:v>1000000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</c:chart>
  <c:spPr>
    <a:solidFill>
      <a:srgbClr val="435eaa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</c:spPr>
          <c:dLbls>
            <c:dLblPos val="ctr"/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7"/>
                <c:pt idx="0">
                  <c:v>трансфер и донације</c:v>
                </c:pt>
                <c:pt idx="1">
                  <c:v>порески приходи </c:v>
                </c:pt>
                <c:pt idx="2">
                  <c:v>пренети приходи из прет. године</c:v>
                </c:pt>
                <c:pt idx="3">
                  <c:v>примања од задуживања</c:v>
                </c:pt>
                <c:pt idx="4">
                  <c:v>остали приходи </c:v>
                </c:pt>
                <c:pt idx="5">
                  <c:v>меморандумске ставке</c:v>
                </c:pt>
                <c:pt idx="6">
                  <c:v>приходи од продаје имовине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7"/>
                <c:pt idx="0">
                  <c:v>331100000</c:v>
                </c:pt>
                <c:pt idx="1">
                  <c:v>492560000</c:v>
                </c:pt>
                <c:pt idx="2">
                  <c:v>77010000</c:v>
                </c:pt>
                <c:pt idx="3">
                  <c:v>0</c:v>
                </c:pt>
                <c:pt idx="4">
                  <c:v>28900000</c:v>
                </c:pt>
                <c:pt idx="5">
                  <c:v>450000</c:v>
                </c:pt>
                <c:pt idx="6">
                  <c:v>1710000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rgbClr val="835e01"/>
            </a:solidFill>
            <a:ln>
              <a:noFill/>
            </a:ln>
          </c:spPr>
          <c:dLbls>
            <c:dLblPos val="ctr"/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7"/>
                <c:pt idx="0">
                  <c:v>трансфер и донације</c:v>
                </c:pt>
                <c:pt idx="1">
                  <c:v>порески приходи </c:v>
                </c:pt>
                <c:pt idx="2">
                  <c:v>пренети приходи из прет. године</c:v>
                </c:pt>
                <c:pt idx="3">
                  <c:v>примања од задуживања</c:v>
                </c:pt>
                <c:pt idx="4">
                  <c:v>остали приходи </c:v>
                </c:pt>
                <c:pt idx="5">
                  <c:v>меморандумске ставке</c:v>
                </c:pt>
                <c:pt idx="6">
                  <c:v>приходи од продаје имовине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7"/>
                <c:pt idx="0">
                  <c:v>340000000</c:v>
                </c:pt>
                <c:pt idx="1">
                  <c:v>553174000</c:v>
                </c:pt>
                <c:pt idx="2">
                  <c:v>68550000</c:v>
                </c:pt>
                <c:pt idx="3">
                  <c:v>0</c:v>
                </c:pt>
                <c:pt idx="4">
                  <c:v>37356000</c:v>
                </c:pt>
                <c:pt idx="5">
                  <c:v>1500000</c:v>
                </c:pt>
                <c:pt idx="6">
                  <c:v>1000000</c:v>
                </c:pt>
              </c:numCache>
            </c:numRef>
          </c:val>
        </c:ser>
        <c:gapWidth val="95"/>
        <c:overlap val="0"/>
        <c:axId val="80455679"/>
        <c:axId val="19605356"/>
      </c:barChart>
      <c:catAx>
        <c:axId val="8045567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19605356"/>
        <c:crosses val="autoZero"/>
        <c:auto val="1"/>
        <c:lblAlgn val="ctr"/>
        <c:lblOffset val="100"/>
      </c:catAx>
      <c:valAx>
        <c:axId val="19605356"/>
        <c:scaling>
          <c:orientation val="minMax"/>
        </c:scaling>
        <c:delete val="0"/>
        <c:axPos val="l"/>
        <c:majorGridlines>
          <c:spPr>
            <a:ln w="9360">
              <a:solidFill>
                <a:srgbClr val="666666"/>
              </a:solidFill>
              <a:round/>
            </a:ln>
          </c:spPr>
        </c:majorGridlines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80455679"/>
        <c:crosses val="autoZero"/>
      </c:valAx>
      <c:dTable>
        <c:showHorzBorder val="1"/>
        <c:showVertBorder val="1"/>
        <c:showOutline val="1"/>
      </c:dTable>
      <c:spPr>
        <a:solidFill>
          <a:srgbClr val="a7d6ff"/>
        </a:solidFill>
        <a:ln>
          <a:noFill/>
        </a:ln>
      </c:spPr>
    </c:plotArea>
    <c:plotVisOnly val="1"/>
  </c:chart>
  <c:spPr>
    <a:solidFill>
      <a:srgbClr val="61b6ff"/>
    </a:solidFill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view3D>
      <c:rotX val="15"/>
      <c:rotY val="20"/>
      <c:rAngAx val="0"/>
      <c:perspective val="30"/>
    </c:view3D>
    <c:floor>
      <c:spPr>
        <a:noFill/>
        <a:ln w="9360">
          <a:solidFill>
            <a:srgbClr val="666666"/>
          </a:solidFill>
          <a:round/>
        </a:ln>
      </c:spPr>
    </c:floor>
    <c:backWall>
      <c:spPr>
        <a:noFill/>
        <a:ln w="9360">
          <a:solidFill>
            <a:srgbClr val="666666"/>
          </a:solidFill>
          <a:round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cc0066"/>
            </a:solidFill>
            <a:ln w="9360">
              <a:solidFill>
                <a:srgbClr val="bcbcbc"/>
              </a:solidFill>
              <a:round/>
            </a:ln>
          </c:spPr>
          <c:dLbls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11"/>
                <c:pt idx="0">
                  <c:v>расходи за запослене</c:v>
                </c:pt>
                <c:pt idx="1">
                  <c:v>кориш. роба и услуга</c:v>
                </c:pt>
                <c:pt idx="2">
                  <c:v>отплата камата</c:v>
                </c:pt>
                <c:pt idx="3">
                  <c:v>дотације и трансфери</c:v>
                </c:pt>
                <c:pt idx="4">
                  <c:v>социјална заштита</c:v>
                </c:pt>
                <c:pt idx="5">
                  <c:v>субвенције</c:v>
                </c:pt>
                <c:pt idx="6">
                  <c:v>остали расходи</c:v>
                </c:pt>
                <c:pt idx="7">
                  <c:v>средства резерве</c:v>
                </c:pt>
                <c:pt idx="8">
                  <c:v>основна средства</c:v>
                </c:pt>
                <c:pt idx="9">
                  <c:v>природна имовина</c:v>
                </c:pt>
                <c:pt idx="10">
                  <c:v>отплата главнице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1"/>
                <c:pt idx="0">
                  <c:v>297270000</c:v>
                </c:pt>
                <c:pt idx="1">
                  <c:v>282860000</c:v>
                </c:pt>
                <c:pt idx="2">
                  <c:v>2850000</c:v>
                </c:pt>
                <c:pt idx="3">
                  <c:v>139815000</c:v>
                </c:pt>
                <c:pt idx="4">
                  <c:v>13685000</c:v>
                </c:pt>
                <c:pt idx="5">
                  <c:v>61000000</c:v>
                </c:pt>
                <c:pt idx="6">
                  <c:v>50900000</c:v>
                </c:pt>
                <c:pt idx="7">
                  <c:v>25800000</c:v>
                </c:pt>
                <c:pt idx="8">
                  <c:v>82900000</c:v>
                </c:pt>
                <c:pt idx="9">
                  <c:v>11000000</c:v>
                </c:pt>
                <c:pt idx="10">
                  <c:v>33500000</c:v>
                </c:pt>
              </c:numCache>
            </c:numRef>
          </c:val>
        </c:ser>
        <c:gapWidth val="75"/>
        <c:shape val="box"/>
        <c:axId val="31602898"/>
        <c:axId val="5886507"/>
        <c:axId val="0"/>
      </c:bar3DChart>
      <c:catAx>
        <c:axId val="3160289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5886507"/>
        <c:crosses val="autoZero"/>
        <c:auto val="1"/>
        <c:lblAlgn val="ctr"/>
        <c:lblOffset val="100"/>
      </c:catAx>
      <c:valAx>
        <c:axId val="5886507"/>
        <c:scaling>
          <c:orientation val="minMax"/>
        </c:scaling>
        <c:delete val="0"/>
        <c:axPos val="l"/>
        <c:majorGridlines>
          <c:spPr>
            <a:ln w="9360">
              <a:solidFill>
                <a:srgbClr val="666666"/>
              </a:solidFill>
              <a:round/>
            </a:ln>
          </c:spPr>
        </c:majorGridlines>
        <c:majorTickMark val="none"/>
        <c:minorTickMark val="none"/>
        <c:tickLblPos val="nextTo"/>
        <c:spPr>
          <a:ln w="9360">
            <a:noFill/>
          </a:ln>
        </c:spPr>
        <c:crossAx val="31602898"/>
        <c:crosses val="autoZero"/>
      </c:valAx>
      <c:spPr>
        <a:noFill/>
        <a:ln w="9360">
          <a:solidFill>
            <a:srgbClr val="666666"/>
          </a:solidFill>
          <a:round/>
        </a:ln>
      </c:spPr>
    </c:plotArea>
    <c:plotVisOnly val="1"/>
  </c:chart>
  <c:spPr>
    <a:solidFill>
      <a:srgbClr val="a6a6a6"/>
    </a:solidFill>
    <a:ln>
      <a:noFill/>
    </a:ln>
  </c:spPr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view3D>
      <c:rotX val="15"/>
      <c:rotY val="10"/>
      <c:rAngAx val="0"/>
      <c:perspective val="20"/>
    </c:view3D>
    <c:floor>
      <c:spPr>
        <a:solidFill>
          <a:srgbClr val="ebedf5"/>
        </a:solidFill>
        <a:ln w="9360">
          <a:solidFill>
            <a:srgbClr val="666666"/>
          </a:solidFill>
          <a:round/>
        </a:ln>
      </c:spPr>
    </c:floor>
    <c:backWall>
      <c:spPr>
        <a:solidFill>
          <a:srgbClr val="61b6ff"/>
        </a:solidFill>
        <a:ln w="9360">
          <a:solidFill>
            <a:srgbClr val="666666"/>
          </a:solidFill>
          <a:round/>
        </a:ln>
      </c:spPr>
    </c:backWall>
    <c:plotArea>
      <c:layout/>
      <c:bar3DChart>
        <c:barDir val="bar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5fa326"/>
            </a:solidFill>
            <a:ln w="9360">
              <a:solidFill>
                <a:srgbClr val="3d4b6d"/>
              </a:solidFill>
              <a:round/>
            </a:ln>
          </c:spPr>
          <c:dLbls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11"/>
                <c:pt idx="0">
                  <c:v>запосл.</c:v>
                </c:pt>
                <c:pt idx="1">
                  <c:v>коришћење роба и услуга</c:v>
                </c:pt>
                <c:pt idx="2">
                  <c:v>отплата камата</c:v>
                </c:pt>
                <c:pt idx="3">
                  <c:v>дотације и трансф.</c:v>
                </c:pt>
                <c:pt idx="4">
                  <c:v>социјална заштита</c:v>
                </c:pt>
                <c:pt idx="5">
                  <c:v>субвенције</c:v>
                </c:pt>
                <c:pt idx="6">
                  <c:v>остали расходи</c:v>
                </c:pt>
                <c:pt idx="7">
                  <c:v>средства резерве</c:v>
                </c:pt>
                <c:pt idx="8">
                  <c:v>основна средства</c:v>
                </c:pt>
                <c:pt idx="9">
                  <c:v>капитални издаци</c:v>
                </c:pt>
                <c:pt idx="10">
                  <c:v>отплата главнице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1"/>
                <c:pt idx="0">
                  <c:v>258770000</c:v>
                </c:pt>
                <c:pt idx="1">
                  <c:v>250860000</c:v>
                </c:pt>
                <c:pt idx="2">
                  <c:v>4700000</c:v>
                </c:pt>
                <c:pt idx="3">
                  <c:v>120700000</c:v>
                </c:pt>
                <c:pt idx="4">
                  <c:v>9610000</c:v>
                </c:pt>
                <c:pt idx="5">
                  <c:v>45000000</c:v>
                </c:pt>
                <c:pt idx="6">
                  <c:v>60890000</c:v>
                </c:pt>
                <c:pt idx="7">
                  <c:v>26800000</c:v>
                </c:pt>
                <c:pt idx="8">
                  <c:v>81900000</c:v>
                </c:pt>
                <c:pt idx="9">
                  <c:v>39000000</c:v>
                </c:pt>
                <c:pt idx="10">
                  <c:v>33500000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rgbClr val="ffc000"/>
            </a:solidFill>
            <a:ln w="9360">
              <a:solidFill>
                <a:srgbClr val="3d4b6d"/>
              </a:solidFill>
              <a:round/>
            </a:ln>
          </c:spPr>
          <c:dLbls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11"/>
                <c:pt idx="0">
                  <c:v>запосл.</c:v>
                </c:pt>
                <c:pt idx="1">
                  <c:v>коришћење роба и услуга</c:v>
                </c:pt>
                <c:pt idx="2">
                  <c:v>отплата камата</c:v>
                </c:pt>
                <c:pt idx="3">
                  <c:v>дотације и трансф.</c:v>
                </c:pt>
                <c:pt idx="4">
                  <c:v>социјална заштита</c:v>
                </c:pt>
                <c:pt idx="5">
                  <c:v>субвенције</c:v>
                </c:pt>
                <c:pt idx="6">
                  <c:v>остали расходи</c:v>
                </c:pt>
                <c:pt idx="7">
                  <c:v>средства резерве</c:v>
                </c:pt>
                <c:pt idx="8">
                  <c:v>основна средства</c:v>
                </c:pt>
                <c:pt idx="9">
                  <c:v>капитални издаци</c:v>
                </c:pt>
                <c:pt idx="10">
                  <c:v>отплата главнице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11"/>
                <c:pt idx="0">
                  <c:v>297270000</c:v>
                </c:pt>
                <c:pt idx="1">
                  <c:v>282860000</c:v>
                </c:pt>
                <c:pt idx="2">
                  <c:v>2850000</c:v>
                </c:pt>
                <c:pt idx="3">
                  <c:v>139815000</c:v>
                </c:pt>
                <c:pt idx="4">
                  <c:v>13685000</c:v>
                </c:pt>
                <c:pt idx="5">
                  <c:v>61000000</c:v>
                </c:pt>
                <c:pt idx="6">
                  <c:v>50900000</c:v>
                </c:pt>
                <c:pt idx="7">
                  <c:v>25800000</c:v>
                </c:pt>
                <c:pt idx="8">
                  <c:v>82900000</c:v>
                </c:pt>
                <c:pt idx="9">
                  <c:v>11000000</c:v>
                </c:pt>
                <c:pt idx="10">
                  <c:v>33500000</c:v>
                </c:pt>
              </c:numCache>
            </c:numRef>
          </c:val>
        </c:ser>
        <c:gapWidth val="150"/>
        <c:shape val="box"/>
        <c:axId val="64241740"/>
        <c:axId val="62382782"/>
        <c:axId val="0"/>
      </c:bar3DChart>
      <c:catAx>
        <c:axId val="642417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62382782"/>
        <c:crosses val="autoZero"/>
        <c:auto val="1"/>
        <c:lblAlgn val="ctr"/>
        <c:lblOffset val="100"/>
      </c:catAx>
      <c:valAx>
        <c:axId val="62382782"/>
        <c:scaling>
          <c:orientation val="minMax"/>
        </c:scaling>
        <c:delete val="0"/>
        <c:axPos val="l"/>
        <c:majorGridlines>
          <c:spPr>
            <a:ln w="9360">
              <a:solidFill>
                <a:srgbClr val="666666"/>
              </a:solidFill>
              <a:round/>
            </a:ln>
          </c:spPr>
        </c:majorGridlines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64241740"/>
        <c:crosses val="autoZero"/>
      </c:valAx>
      <c:dTable>
        <c:showHorzBorder val="1"/>
        <c:showVertBorder val="1"/>
        <c:showOutline val="1"/>
      </c:dTable>
      <c:spPr>
        <a:solidFill>
          <a:srgbClr val="61b6ff"/>
        </a:solidFill>
        <a:ln w="9360">
          <a:solidFill>
            <a:srgbClr val="666666"/>
          </a:solidFill>
          <a:round/>
        </a:ln>
      </c:spPr>
    </c:plotArea>
    <c:plotVisOnly val="1"/>
  </c:chart>
  <c:spPr>
    <a:solidFill>
      <a:srgbClr val="fed46c"/>
    </a:solidFill>
    <a:ln>
      <a:noFill/>
    </a:ln>
  </c:spPr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view3D>
      <c:rotX val="15"/>
      <c:rotY val="20"/>
      <c:rAngAx val="0"/>
      <c:perspective val="30"/>
    </c:view3D>
    <c:floor>
      <c:spPr>
        <a:solidFill>
          <a:srgbClr val="e7f1f8"/>
        </a:solidFill>
        <a:ln w="9360">
          <a:solidFill>
            <a:srgbClr val="666666"/>
          </a:solidFill>
          <a:round/>
        </a:ln>
      </c:spPr>
    </c:floor>
    <c:backWall>
      <c:spPr>
        <a:solidFill>
          <a:srgbClr val="e7f1f8"/>
        </a:solidFill>
        <a:ln w="9360">
          <a:solidFill>
            <a:srgbClr val="666666"/>
          </a:solidFill>
          <a:round/>
        </a:ln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label 0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7fd13b"/>
            </a:solidFill>
            <a:ln w="9360">
              <a:solidFill>
                <a:srgbClr val="e90f77"/>
              </a:solidFill>
              <a:round/>
            </a:ln>
          </c:spPr>
          <c:dLbls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13"/>
                <c:pt idx="0">
                  <c:v>образовање</c:v>
                </c:pt>
                <c:pt idx="1">
                  <c:v>опште јавне услуге</c:v>
                </c:pt>
                <c:pt idx="2">
                  <c:v>саобраћај</c:v>
                </c:pt>
                <c:pt idx="3">
                  <c:v>животна средина</c:v>
                </c:pt>
                <c:pt idx="4">
                  <c:v>спорт, култура</c:v>
                </c:pt>
                <c:pt idx="5">
                  <c:v>пољопривреда</c:v>
                </c:pt>
                <c:pt idx="6">
                  <c:v>социјална заштита</c:v>
                </c:pt>
                <c:pt idx="7">
                  <c:v>развој заједнице</c:v>
                </c:pt>
                <c:pt idx="8">
                  <c:v>водоснабдевање</c:v>
                </c:pt>
                <c:pt idx="9">
                  <c:v>јавна расвета</c:v>
                </c:pt>
                <c:pt idx="10">
                  <c:v>здравство</c:v>
                </c:pt>
                <c:pt idx="11">
                  <c:v>туризам</c:v>
                </c:pt>
                <c:pt idx="12">
                  <c:v>правобранилаштво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3"/>
                <c:pt idx="0">
                  <c:v>27.7821042752451</c:v>
                </c:pt>
                <c:pt idx="1">
                  <c:v>32.9404540825496</c:v>
                </c:pt>
                <c:pt idx="2">
                  <c:v>7.58801094271052</c:v>
                </c:pt>
                <c:pt idx="3">
                  <c:v>7.77271910381597</c:v>
                </c:pt>
                <c:pt idx="4">
                  <c:v>11.257213602508</c:v>
                </c:pt>
                <c:pt idx="5">
                  <c:v>0.269574072964716</c:v>
                </c:pt>
                <c:pt idx="6">
                  <c:v>3.82246051239042</c:v>
                </c:pt>
                <c:pt idx="7">
                  <c:v>0.549132370854051</c:v>
                </c:pt>
                <c:pt idx="8">
                  <c:v>2.99526747738573</c:v>
                </c:pt>
                <c:pt idx="9">
                  <c:v>2.91539367798878</c:v>
                </c:pt>
                <c:pt idx="10">
                  <c:v>0.848659118592624</c:v>
                </c:pt>
                <c:pt idx="11">
                  <c:v>0.758801094271052</c:v>
                </c:pt>
                <c:pt idx="12">
                  <c:v>0.500209668723417</c:v>
                </c:pt>
              </c:numCache>
            </c:numRef>
          </c:val>
        </c:ser>
        <c:gapWidth val="150"/>
        <c:shape val="cylinder"/>
        <c:axId val="18954702"/>
        <c:axId val="59163705"/>
      </c:bar3DChart>
      <c:catAx>
        <c:axId val="1895470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59163705"/>
        <c:crosses val="autoZero"/>
        <c:auto val="1"/>
        <c:lblAlgn val="ctr"/>
        <c:lblOffset val="100"/>
      </c:catAx>
      <c:valAx>
        <c:axId val="59163705"/>
        <c:scaling>
          <c:orientation val="minMax"/>
        </c:scaling>
        <c:delete val="0"/>
        <c:axPos val="l"/>
        <c:majorGridlines>
          <c:spPr>
            <a:ln w="9360">
              <a:solidFill>
                <a:srgbClr val="666666"/>
              </a:solidFill>
              <a:round/>
            </a:ln>
          </c:spPr>
        </c:majorGridlines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18954702"/>
        <c:crosses val="autoZero"/>
      </c:valAx>
      <c:spPr>
        <a:solidFill>
          <a:srgbClr val="e7f1f8"/>
        </a:solidFill>
        <a:ln w="9360">
          <a:solidFill>
            <a:srgbClr val="666666"/>
          </a:solidFill>
          <a:round/>
        </a:ln>
      </c:spPr>
    </c:plotArea>
    <c:plotVisOnly val="1"/>
  </c:chart>
  <c:spPr>
    <a:solidFill>
      <a:srgbClr val="f7a1ca"/>
    </a:solidFill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view3D>
      <c:rotX val="30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738ac8"/>
            </a:solidFill>
            <a:ln w="9360">
              <a:solidFill>
                <a:srgbClr val="bcbcbc"/>
              </a:solidFill>
              <a:round/>
            </a:ln>
          </c:spPr>
          <c:explosion val="25"/>
          <c:dPt>
            <c:idx val="0"/>
            <c:spPr>
              <a:solidFill>
                <a:srgbClr val="5f72a5"/>
              </a:solidFill>
              <a:ln w="9360">
                <a:solidFill>
                  <a:srgbClr val="bcbcbc"/>
                </a:solidFill>
                <a:round/>
              </a:ln>
            </c:spPr>
          </c:dPt>
          <c:dPt>
            <c:idx val="1"/>
            <c:spPr>
              <a:solidFill>
                <a:srgbClr val="738ac8"/>
              </a:solidFill>
              <a:ln w="9360">
                <a:solidFill>
                  <a:srgbClr val="bcbcbc"/>
                </a:solidFill>
                <a:round/>
              </a:ln>
            </c:spPr>
          </c:dPt>
          <c:dPt>
            <c:idx val="2"/>
            <c:spPr>
              <a:solidFill>
                <a:srgbClr val="b4bedd"/>
              </a:solidFill>
              <a:ln w="9360">
                <a:solidFill>
                  <a:srgbClr val="bcbcbc"/>
                </a:solidFill>
                <a:round/>
              </a:ln>
            </c:spPr>
          </c:dPt>
          <c:dLbls>
            <c:dLbl>
              <c:idx val="0"/>
              <c:dLblPos val="bestFit"/>
              <c:showLegendKey val="0"/>
              <c:showVal val="1"/>
              <c:showCatName val="1"/>
              <c:showSerName val="0"/>
              <c:showPercent val="0"/>
            </c:dLbl>
            <c:dLbl>
              <c:idx val="1"/>
              <c:dLblPos val="bestFit"/>
              <c:showLegendKey val="0"/>
              <c:showVal val="1"/>
              <c:showCatName val="1"/>
              <c:showSerName val="0"/>
              <c:showPercent val="0"/>
            </c:dLbl>
            <c:dLbl>
              <c:idx val="2"/>
              <c:dLblPos val="bestFit"/>
              <c:showLegendKey val="0"/>
              <c:showVal val="1"/>
              <c:showCatName val="1"/>
              <c:showSerName val="0"/>
              <c:showPercent val="0"/>
            </c:dLbl>
            <c:dLblPos val="bestFit"/>
            <c:showLegendKey val="0"/>
            <c:showVal val="1"/>
            <c:showCatName val="1"/>
            <c:showSerName val="0"/>
            <c:showPercent val="0"/>
          </c:dLbls>
          <c:cat>
            <c:strRef>
              <c:f>categories</c:f>
              <c:strCache>
                <c:ptCount val="3"/>
                <c:pt idx="0">
                  <c:v>предшколско образовање</c:v>
                </c:pt>
                <c:pt idx="1">
                  <c:v>основно образовање</c:v>
                </c:pt>
                <c:pt idx="2">
                  <c:v>средње образовање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155760000</c:v>
                </c:pt>
                <c:pt idx="1">
                  <c:v>87500000</c:v>
                </c:pt>
                <c:pt idx="2">
                  <c:v>35000000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plotVisOnly val="1"/>
  </c:chart>
  <c:spPr>
    <a:solidFill>
      <a:srgbClr val="00cc99"/>
    </a:solidFill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view3D>
      <c:rotX val="7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/>
                </c:pt>
              </c:strCache>
            </c:strRef>
          </c:tx>
          <c:spPr>
            <a:solidFill>
              <a:srgbClr val="ea157a"/>
            </a:solidFill>
            <a:ln>
              <a:noFill/>
            </a:ln>
          </c:spPr>
          <c:explosion val="25"/>
          <c:dPt>
            <c:idx val="0"/>
            <c:spPr>
              <a:solidFill>
                <a:srgbClr val="7fd13b"/>
              </a:solidFill>
              <a:ln w="9360">
                <a:solidFill>
                  <a:srgbClr val="e90f77"/>
                </a:solidFill>
                <a:round/>
              </a:ln>
            </c:spPr>
          </c:dPt>
          <c:dPt>
            <c:idx val="1"/>
            <c:spPr>
              <a:solidFill>
                <a:srgbClr val="b81060"/>
              </a:solidFill>
              <a:ln>
                <a:noFill/>
              </a:ln>
            </c:spPr>
          </c:dPt>
          <c:dPt>
            <c:idx val="2"/>
            <c:spPr>
              <a:solidFill>
                <a:srgbClr val="ffc000"/>
              </a:solidFill>
              <a:ln>
                <a:noFill/>
              </a:ln>
            </c:spPr>
          </c:dPt>
          <c:dPt>
            <c:idx val="3"/>
            <c:spPr>
              <a:solidFill>
                <a:srgbClr val="ff0000"/>
              </a:solidFill>
              <a:ln>
                <a:noFill/>
              </a:ln>
            </c:spPr>
          </c:dPt>
          <c:dPt>
            <c:idx val="4"/>
            <c:spPr>
              <a:solidFill>
                <a:srgbClr val="738ac8"/>
              </a:solidFill>
              <a:ln>
                <a:noFill/>
              </a:ln>
            </c:spPr>
          </c:dPt>
          <c:dPt>
            <c:idx val="5"/>
            <c:spPr>
              <a:solidFill>
                <a:srgbClr val="cc0066"/>
              </a:solidFill>
              <a:ln>
                <a:noFill/>
              </a:ln>
            </c:spPr>
          </c:dPt>
          <c:dPt>
            <c:idx val="6"/>
            <c:spPr>
              <a:solidFill>
                <a:srgbClr val="f093ad"/>
              </a:solidFill>
              <a:ln>
                <a:noFill/>
              </a:ln>
            </c:spPr>
          </c:dPt>
          <c:dPt>
            <c:idx val="7"/>
            <c:spPr>
              <a:solidFill>
                <a:srgbClr val="f3afc0"/>
              </a:solidFill>
              <a:ln>
                <a:noFill/>
              </a:ln>
            </c:spPr>
          </c:dPt>
          <c:dPt>
            <c:idx val="8"/>
            <c:spPr>
              <a:solidFill>
                <a:srgbClr val="feb80a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0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0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0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0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0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0"/>
            </c:dLbl>
            <c:dLbl>
              <c:idx val="6"/>
              <c:dLblPos val="bestFit"/>
              <c:showLegendKey val="0"/>
              <c:showVal val="0"/>
              <c:showCatName val="0"/>
              <c:showSerName val="0"/>
              <c:showPercent val="0"/>
            </c:dLbl>
            <c:dLbl>
              <c:idx val="7"/>
              <c:dLblPos val="bestFit"/>
              <c:showLegendKey val="0"/>
              <c:showVal val="0"/>
              <c:showCatName val="0"/>
              <c:showSerName val="0"/>
              <c:showPercent val="0"/>
            </c:dLbl>
            <c:dLbl>
              <c:idx val="8"/>
              <c:dLblPos val="bestFit"/>
              <c:showLegendKey val="0"/>
              <c:showVal val="0"/>
              <c:showCatName val="0"/>
              <c:showSerName val="0"/>
              <c:showPercent val="0"/>
            </c:dLbl>
            <c:dLblPos val="bestFit"/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9"/>
                <c:pt idx="0">
                  <c:v>Трошкови запослених</c:v>
                </c:pt>
                <c:pt idx="1">
                  <c:v>Стални трошкови</c:v>
                </c:pt>
                <c:pt idx="2">
                  <c:v>Трошкови путовања</c:v>
                </c:pt>
                <c:pt idx="3">
                  <c:v>Услуге по уговору</c:v>
                </c:pt>
                <c:pt idx="4">
                  <c:v>Специјализоване услуге</c:v>
                </c:pt>
                <c:pt idx="5">
                  <c:v>Текуће поправке и одржавање</c:v>
                </c:pt>
                <c:pt idx="6">
                  <c:v>Материјал</c:v>
                </c:pt>
                <c:pt idx="7">
                  <c:v>Порези, обавезне таксе, казне и пенали</c:v>
                </c:pt>
                <c:pt idx="8">
                  <c:v>Машине и опрема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9"/>
                <c:pt idx="0">
                  <c:v>127310000</c:v>
                </c:pt>
                <c:pt idx="1">
                  <c:v>8000000</c:v>
                </c:pt>
                <c:pt idx="2">
                  <c:v>500000</c:v>
                </c:pt>
                <c:pt idx="3">
                  <c:v>8000000</c:v>
                </c:pt>
                <c:pt idx="4">
                  <c:v>900000</c:v>
                </c:pt>
                <c:pt idx="5">
                  <c:v>1000000</c:v>
                </c:pt>
                <c:pt idx="6">
                  <c:v>9500000</c:v>
                </c:pt>
                <c:pt idx="7">
                  <c:v>50000</c:v>
                </c:pt>
                <c:pt idx="8">
                  <c:v>500000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</c:legend>
    <c:plotVisOnly val="1"/>
  </c:chart>
  <c:spPr>
    <a:solidFill>
      <a:srgbClr val="ffffff"/>
    </a:solidFill>
    <a:ln w="25560">
      <a:solidFill>
        <a:srgbClr val="138475"/>
      </a:solidFill>
      <a:round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plotArea>
      <c:layout/>
      <c:lineChart>
        <c:grouping val="standard"/>
        <c:ser>
          <c:idx val="0"/>
          <c:order val="0"/>
          <c:tx>
            <c:strRef>
              <c:f>label 0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9b0b4f"/>
            </a:solidFill>
            <a:ln w="28440">
              <a:solidFill>
                <a:srgbClr val="9b0b4f"/>
              </a:solidFill>
              <a:round/>
            </a:ln>
          </c:spPr>
          <c:marker>
            <c:symbol val="square"/>
            <c:size val="5"/>
            <c:spPr>
              <a:solidFill>
                <a:srgbClr val="ee4000"/>
              </a:solidFill>
            </c:spPr>
          </c:marker>
          <c:dLbls>
            <c:dLblPos val="r"/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4"/>
                <c:pt idx="0">
                  <c:v>ОШ Бранко Радичевић</c:v>
                </c:pt>
                <c:pt idx="1">
                  <c:v>ОШ Свети Сава</c:v>
                </c:pt>
                <c:pt idx="2">
                  <c:v>ОШ Вук Караџић</c:v>
                </c:pt>
                <c:pt idx="3">
                  <c:v>ОШ Радомир Путник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21000000</c:v>
                </c:pt>
                <c:pt idx="1">
                  <c:v>31000000</c:v>
                </c:pt>
                <c:pt idx="2">
                  <c:v>14000000</c:v>
                </c:pt>
                <c:pt idx="3">
                  <c:v>10000000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2026</c:v>
                </c:pt>
              </c:strCache>
            </c:strRef>
          </c:tx>
          <c:spPr>
            <a:solidFill>
              <a:srgbClr val="b1637a"/>
            </a:solidFill>
            <a:ln w="28440">
              <a:solidFill>
                <a:srgbClr val="b1637a"/>
              </a:solidFill>
              <a:round/>
            </a:ln>
          </c:spPr>
          <c:marker>
            <c:symbol val="square"/>
            <c:size val="5"/>
            <c:spPr>
              <a:solidFill>
                <a:srgbClr val="ee4000"/>
              </a:solidFill>
            </c:spPr>
          </c:marker>
          <c:dLbls>
            <c:dLblPos val="r"/>
            <c:showLegendKey val="0"/>
            <c:showVal val="0"/>
            <c:showCatName val="0"/>
            <c:showSerName val="0"/>
            <c:showPercent val="0"/>
          </c:dLbls>
          <c:cat>
            <c:strRef>
              <c:f>categories</c:f>
              <c:strCache>
                <c:ptCount val="4"/>
                <c:pt idx="0">
                  <c:v>ОШ Бранко Радичевић</c:v>
                </c:pt>
                <c:pt idx="1">
                  <c:v>ОШ Свети Сава</c:v>
                </c:pt>
                <c:pt idx="2">
                  <c:v>ОШ Вук Караџић</c:v>
                </c:pt>
                <c:pt idx="3">
                  <c:v>ОШ Радомир Путник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23000000</c:v>
                </c:pt>
                <c:pt idx="1">
                  <c:v>29000000</c:v>
                </c:pt>
                <c:pt idx="2">
                  <c:v>15500000</c:v>
                </c:pt>
                <c:pt idx="3">
                  <c:v>11500000</c:v>
                </c:pt>
              </c:numCache>
            </c:numRef>
          </c:val>
          <c:smooth val="0"/>
        </c:ser>
        <c:hiLowLines>
          <c:spPr>
            <a:ln>
              <a:noFill/>
            </a:ln>
          </c:spPr>
        </c:hiLowLines>
        <c:upDownBars>
          <c:gapWidth val="150"/>
          <c:upBars/>
          <c:downBars/>
        </c:upDownBars>
        <c:marker val="1"/>
        <c:axId val="48623562"/>
        <c:axId val="93314674"/>
      </c:lineChart>
      <c:catAx>
        <c:axId val="4862356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93314674"/>
        <c:crosses val="autoZero"/>
        <c:auto val="1"/>
        <c:lblAlgn val="ctr"/>
        <c:lblOffset val="100"/>
      </c:catAx>
      <c:valAx>
        <c:axId val="93314674"/>
        <c:scaling>
          <c:orientation val="minMax"/>
        </c:scaling>
        <c:delete val="0"/>
        <c:axPos val="l"/>
        <c:majorGridlines>
          <c:spPr>
            <a:ln w="9360">
              <a:solidFill>
                <a:srgbClr val="666666"/>
              </a:solidFill>
              <a:round/>
            </a:ln>
          </c:spPr>
        </c:majorGridlines>
        <c:majorTickMark val="none"/>
        <c:minorTickMark val="none"/>
        <c:tickLblPos val="nextTo"/>
        <c:spPr>
          <a:ln w="9360">
            <a:solidFill>
              <a:srgbClr val="666666"/>
            </a:solidFill>
            <a:round/>
          </a:ln>
        </c:spPr>
        <c:crossAx val="48623562"/>
        <c:crosses val="autoZero"/>
      </c:valAx>
      <c:dTable>
        <c:showHorzBorder val="1"/>
        <c:showVertBorder val="1"/>
        <c:showOutline val="1"/>
      </c:dTable>
      <c:spPr>
        <a:solidFill>
          <a:srgbClr val="a6a6a6"/>
        </a:solidFill>
        <a:ln>
          <a:noFill/>
        </a:ln>
      </c:spPr>
    </c:plotArea>
    <c:plotVisOnly val="1"/>
  </c:chart>
  <c:spPr>
    <a:solidFill>
      <a:srgbClr val="ffffff"/>
    </a:solidFill>
    <a:ln>
      <a:noFill/>
    </a:ln>
  </c:spPr>
  <c:externalData r:id="rId1"/>
</c:chartSpace>
</file>

<file path=word/diagrams/colors15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7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50.xml><?xml version="1.0" encoding="utf-8"?>
<dgm:dataModel xmlns:dgm="http://schemas.openxmlformats.org/drawingml/2006/diagram" xmlns:a="http://schemas.openxmlformats.org/drawingml/2006/main">
  <dgm:ptLst>
    <dgm:pt modelId="{D648EA04-471A-49EC-B524-F780FD66F67F}" type="doc">
      <dgm:prSet loTypeId="urn:microsoft.com/office/officeart/2005/8/layout/hierarchy2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1145A31-C034-4EAF-A8A4-078A70E9D875}">
      <dgm:prSet phldrT="[Text]" custT="1"/>
      <dgm:spPr>
        <a:solidFill>
          <a:srgbClr val="FFC000"/>
        </a:solidFill>
      </dgm:spPr>
      <dgm:t>
        <a:bodyPr/>
        <a:lstStyle/>
        <a:p>
          <a:r>
            <a:rPr lang="sr-Cyrl-CS" sz="1200">
              <a:latin typeface="Times New Roman" pitchFamily="18" charset="0"/>
              <a:cs typeface="Times New Roman" pitchFamily="18" charset="0"/>
            </a:rPr>
            <a:t>ЕКОНОМСКИ </a:t>
          </a:r>
          <a:r>
            <a:rPr lang="sr-Cyrl-CS" sz="1100">
              <a:latin typeface="Times New Roman" pitchFamily="18" charset="0"/>
              <a:cs typeface="Times New Roman" pitchFamily="18" charset="0"/>
            </a:rPr>
            <a:t>ПОСЛОВИ</a:t>
          </a:r>
          <a:r>
            <a:rPr lang="sr-Cyrl-CS" sz="1200">
              <a:latin typeface="Times New Roman" pitchFamily="18" charset="0"/>
              <a:cs typeface="Times New Roman" pitchFamily="18" charset="0"/>
            </a:rPr>
            <a:t>      86</a:t>
          </a:r>
          <a:r>
            <a:rPr lang="sr-Cyrl-RS" sz="1200">
              <a:latin typeface="Times New Roman" pitchFamily="18" charset="0"/>
              <a:cs typeface="Times New Roman" pitchFamily="18" charset="0"/>
            </a:rPr>
            <a:t>,900</a:t>
          </a:r>
          <a:r>
            <a:rPr lang="sr-Cyrl-CS" sz="1200">
              <a:latin typeface="Times New Roman" pitchFamily="18" charset="0"/>
              <a:cs typeface="Times New Roman" pitchFamily="18" charset="0"/>
            </a:rPr>
            <a:t>.000</a:t>
          </a:r>
          <a:endParaRPr lang="en-US" sz="1200">
            <a:latin typeface="Times New Roman" pitchFamily="18" charset="0"/>
            <a:cs typeface="Times New Roman" pitchFamily="18" charset="0"/>
          </a:endParaRPr>
        </a:p>
      </dgm:t>
    </dgm:pt>
    <dgm:pt modelId="{DD9725CD-0ADC-4A11-9EC3-2DCFC3179E73}" type="parTrans" cxnId="{094FC7A0-B54D-4C07-9040-9E78359D72E8}">
      <dgm:prSet/>
      <dgm:spPr/>
      <dgm:t>
        <a:bodyPr/>
        <a:lstStyle/>
        <a:p>
          <a:endParaRPr lang="en-US"/>
        </a:p>
      </dgm:t>
    </dgm:pt>
    <dgm:pt modelId="{102B095D-17BB-4BC3-AA09-8E7D37D11CB4}" type="sibTrans" cxnId="{094FC7A0-B54D-4C07-9040-9E78359D72E8}">
      <dgm:prSet/>
      <dgm:spPr/>
      <dgm:t>
        <a:bodyPr/>
        <a:lstStyle/>
        <a:p>
          <a:endParaRPr lang="en-US"/>
        </a:p>
      </dgm:t>
    </dgm:pt>
    <dgm:pt modelId="{A3E15652-3425-4C42-82C1-5568F38ACE1E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sr-Cyrl-CS" sz="1200"/>
            <a:t>ПОЉОПРИВРЕДА </a:t>
          </a:r>
          <a:r>
            <a:rPr lang="sr-Cyrl-RS" sz="1200"/>
            <a:t>2,70</a:t>
          </a:r>
          <a:r>
            <a:rPr lang="sr-Cyrl-CS" sz="1200"/>
            <a:t>0.000</a:t>
          </a:r>
          <a:endParaRPr lang="en-US" sz="1200"/>
        </a:p>
      </dgm:t>
    </dgm:pt>
    <dgm:pt modelId="{C9BCB4B2-6BF8-492B-B282-36125F38CB5E}" type="parTrans" cxnId="{20B0EDE7-B887-4300-8A37-AC9D9485F247}">
      <dgm:prSet/>
      <dgm:spPr/>
      <dgm:t>
        <a:bodyPr/>
        <a:lstStyle/>
        <a:p>
          <a:endParaRPr lang="en-US"/>
        </a:p>
      </dgm:t>
    </dgm:pt>
    <dgm:pt modelId="{75BB8170-3ABE-4D38-9A35-FBE6AD42CFA3}" type="sibTrans" cxnId="{20B0EDE7-B887-4300-8A37-AC9D9485F247}">
      <dgm:prSet/>
      <dgm:spPr/>
      <dgm:t>
        <a:bodyPr/>
        <a:lstStyle/>
        <a:p>
          <a:endParaRPr lang="en-US"/>
        </a:p>
      </dgm:t>
    </dgm:pt>
    <dgm:pt modelId="{BA8AC35E-7573-4244-9505-E56F8205CCEE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sr-Cyrl-CS" sz="1000"/>
            <a:t>Накнада за стрелце </a:t>
          </a:r>
          <a:r>
            <a:rPr lang="sr-Cyrl-RS" sz="1000"/>
            <a:t>1,2</a:t>
          </a:r>
          <a:r>
            <a:rPr lang="sr-Cyrl-CS" sz="1000"/>
            <a:t>00.000</a:t>
          </a:r>
          <a:endParaRPr lang="en-US" sz="1000"/>
        </a:p>
      </dgm:t>
    </dgm:pt>
    <dgm:pt modelId="{4D23CF04-A35D-4E66-B713-F740F2127034}" type="parTrans" cxnId="{1F1EF160-95B7-4C5D-A87A-085748FFA108}">
      <dgm:prSet/>
      <dgm:spPr/>
      <dgm:t>
        <a:bodyPr/>
        <a:lstStyle/>
        <a:p>
          <a:endParaRPr lang="en-US"/>
        </a:p>
      </dgm:t>
    </dgm:pt>
    <dgm:pt modelId="{F6B0EA66-DB42-463D-A533-3CA21A4044D9}" type="sibTrans" cxnId="{1F1EF160-95B7-4C5D-A87A-085748FFA108}">
      <dgm:prSet/>
      <dgm:spPr/>
      <dgm:t>
        <a:bodyPr/>
        <a:lstStyle/>
        <a:p>
          <a:endParaRPr lang="en-US"/>
        </a:p>
      </dgm:t>
    </dgm:pt>
    <dgm:pt modelId="{609543FE-F59A-45A7-9E80-F24DAA1A757F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sr-Cyrl-CS" sz="1000"/>
            <a:t>противградна заштита 1,</a:t>
          </a:r>
          <a:r>
            <a:rPr lang="sr-Cyrl-RS" sz="1000"/>
            <a:t>0</a:t>
          </a:r>
          <a:r>
            <a:rPr lang="sr-Cyrl-CS" sz="1000"/>
            <a:t>00.000</a:t>
          </a:r>
          <a:endParaRPr lang="en-US" sz="1000"/>
        </a:p>
      </dgm:t>
    </dgm:pt>
    <dgm:pt modelId="{972F0AEA-7DD0-410B-939D-257400FBEE5D}" type="parTrans" cxnId="{A30A1280-BBD0-4ACD-B50E-FFF55B0550BE}">
      <dgm:prSet/>
      <dgm:spPr/>
      <dgm:t>
        <a:bodyPr/>
        <a:lstStyle/>
        <a:p>
          <a:endParaRPr lang="en-US"/>
        </a:p>
      </dgm:t>
    </dgm:pt>
    <dgm:pt modelId="{E761EBDE-62BB-4396-81F2-B80852DDE0F0}" type="sibTrans" cxnId="{A30A1280-BBD0-4ACD-B50E-FFF55B0550BE}">
      <dgm:prSet/>
      <dgm:spPr/>
      <dgm:t>
        <a:bodyPr/>
        <a:lstStyle/>
        <a:p>
          <a:endParaRPr lang="en-US"/>
        </a:p>
      </dgm:t>
    </dgm:pt>
    <dgm:pt modelId="{2519DDA3-05F0-4AAB-8FA7-E1C388CEF7D6}">
      <dgm:prSet phldrT="[Text]" custT="1"/>
      <dgm:spPr>
        <a:solidFill>
          <a:srgbClr val="A4653E"/>
        </a:solidFill>
      </dgm:spPr>
      <dgm:t>
        <a:bodyPr/>
        <a:lstStyle/>
        <a:p>
          <a:r>
            <a:rPr lang="sr-Cyrl-CS" sz="1200"/>
            <a:t>ДРУМСКИ САОБРАЋАЈ </a:t>
          </a:r>
          <a:r>
            <a:rPr lang="sr-Cyrl-RS" sz="1200"/>
            <a:t>76,600</a:t>
          </a:r>
          <a:r>
            <a:rPr lang="sr-Cyrl-CS" sz="1200"/>
            <a:t>.000</a:t>
          </a:r>
          <a:endParaRPr lang="en-US" sz="1200"/>
        </a:p>
      </dgm:t>
    </dgm:pt>
    <dgm:pt modelId="{0A48EABE-9594-4A65-93B9-C25C591B62D3}" type="parTrans" cxnId="{DF5BF017-63A7-4407-98F4-0B65C3217E85}">
      <dgm:prSet/>
      <dgm:spPr/>
      <dgm:t>
        <a:bodyPr/>
        <a:lstStyle/>
        <a:p>
          <a:endParaRPr lang="en-US"/>
        </a:p>
      </dgm:t>
    </dgm:pt>
    <dgm:pt modelId="{824D14E8-F053-4C7E-96C0-0E2C2CCD34FC}" type="sibTrans" cxnId="{DF5BF017-63A7-4407-98F4-0B65C3217E85}">
      <dgm:prSet/>
      <dgm:spPr/>
      <dgm:t>
        <a:bodyPr/>
        <a:lstStyle/>
        <a:p>
          <a:endParaRPr lang="en-US"/>
        </a:p>
      </dgm:t>
    </dgm:pt>
    <dgm:pt modelId="{835B8CE7-A048-4623-9C13-D76D2C2D94FB}">
      <dgm:prSet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sr-Cyrl-CS" sz="1000"/>
            <a:t>Сајмови и едукације </a:t>
          </a:r>
          <a:r>
            <a:rPr lang="sr-Cyrl-RS" sz="1000"/>
            <a:t>5</a:t>
          </a:r>
          <a:r>
            <a:rPr lang="sr-Cyrl-CS" sz="1000"/>
            <a:t>00,000, </a:t>
          </a:r>
          <a:endParaRPr lang="en-US" sz="1000"/>
        </a:p>
      </dgm:t>
    </dgm:pt>
    <dgm:pt modelId="{4D329EB6-32E0-4C16-8FB5-2B4DADCEC118}" type="parTrans" cxnId="{01F718D2-0B5A-46FE-9F14-39B4F70DC575}">
      <dgm:prSet/>
      <dgm:spPr/>
      <dgm:t>
        <a:bodyPr/>
        <a:lstStyle/>
        <a:p>
          <a:endParaRPr lang="en-US"/>
        </a:p>
      </dgm:t>
    </dgm:pt>
    <dgm:pt modelId="{5451F480-5F16-4CFE-A27C-E0E028986F61}" type="sibTrans" cxnId="{01F718D2-0B5A-46FE-9F14-39B4F70DC575}">
      <dgm:prSet/>
      <dgm:spPr/>
      <dgm:t>
        <a:bodyPr/>
        <a:lstStyle/>
        <a:p>
          <a:endParaRPr lang="en-US"/>
        </a:p>
      </dgm:t>
    </dgm:pt>
    <dgm:pt modelId="{C4AF3E0F-E44B-4C6B-81D9-3F1BC7A59C04}">
      <dgm:prSet custT="1"/>
      <dgm:spPr>
        <a:solidFill>
          <a:srgbClr val="C76B33"/>
        </a:solidFill>
      </dgm:spPr>
      <dgm:t>
        <a:bodyPr/>
        <a:lstStyle/>
        <a:p>
          <a:r>
            <a:rPr lang="sr-Cyrl-CS" sz="1000"/>
            <a:t>ПУТНА ИНФРАСТРУКТУРА</a:t>
          </a:r>
          <a:endParaRPr lang="en-US" sz="1000"/>
        </a:p>
      </dgm:t>
    </dgm:pt>
    <dgm:pt modelId="{DB07044F-630B-4E9F-9B38-46FEC97A5D45}" type="parTrans" cxnId="{441A8343-0539-4935-8D5B-7AA1798ED8FE}">
      <dgm:prSet/>
      <dgm:spPr/>
      <dgm:t>
        <a:bodyPr/>
        <a:lstStyle/>
        <a:p>
          <a:endParaRPr lang="en-US"/>
        </a:p>
      </dgm:t>
    </dgm:pt>
    <dgm:pt modelId="{1B109CC8-1DE9-4FDD-92C0-B17F8A002F20}" type="sibTrans" cxnId="{441A8343-0539-4935-8D5B-7AA1798ED8FE}">
      <dgm:prSet/>
      <dgm:spPr/>
      <dgm:t>
        <a:bodyPr/>
        <a:lstStyle/>
        <a:p>
          <a:endParaRPr lang="en-US"/>
        </a:p>
      </dgm:t>
    </dgm:pt>
    <dgm:pt modelId="{B5EA8D81-B6E8-4AA5-A2D9-BC18F79B813A}" type="pres">
      <dgm:prSet presAssocID="{D648EA04-471A-49EC-B524-F780FD66F67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BE5B271-4A8E-4A85-A5ED-879D46DB3FA3}" type="pres">
      <dgm:prSet presAssocID="{61145A31-C034-4EAF-A8A4-078A70E9D875}" presName="root1" presStyleCnt="0"/>
      <dgm:spPr/>
      <dgm:t>
        <a:bodyPr/>
        <a:lstStyle/>
        <a:p>
          <a:endParaRPr lang="en-US"/>
        </a:p>
      </dgm:t>
    </dgm:pt>
    <dgm:pt modelId="{751E19DD-F797-41B8-8914-D8852296ECC3}" type="pres">
      <dgm:prSet presAssocID="{61145A31-C034-4EAF-A8A4-078A70E9D875}" presName="LevelOneTextNode" presStyleLbl="node0" presStyleIdx="0" presStyleCnt="1" custScaleX="260407" custScaleY="176155" custLinFactNeighborX="-571" custLinFactNeighborY="-525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68502A9-EA0C-42BE-BC6C-86017EDFCE7F}" type="pres">
      <dgm:prSet presAssocID="{61145A31-C034-4EAF-A8A4-078A70E9D875}" presName="level2hierChild" presStyleCnt="0"/>
      <dgm:spPr/>
      <dgm:t>
        <a:bodyPr/>
        <a:lstStyle/>
        <a:p>
          <a:endParaRPr lang="en-US"/>
        </a:p>
      </dgm:t>
    </dgm:pt>
    <dgm:pt modelId="{E1413BB5-ECF9-4EAB-871C-E46CB1F2C528}" type="pres">
      <dgm:prSet presAssocID="{C9BCB4B2-6BF8-492B-B282-36125F38CB5E}" presName="conn2-1" presStyleLbl="parChTrans1D2" presStyleIdx="0" presStyleCnt="2"/>
      <dgm:spPr/>
      <dgm:t>
        <a:bodyPr/>
        <a:lstStyle/>
        <a:p>
          <a:endParaRPr lang="en-US"/>
        </a:p>
      </dgm:t>
    </dgm:pt>
    <dgm:pt modelId="{D9B172E8-2104-477D-A1EA-57C81D5BA5B4}" type="pres">
      <dgm:prSet presAssocID="{C9BCB4B2-6BF8-492B-B282-36125F38CB5E}" presName="connTx" presStyleLbl="parChTrans1D2" presStyleIdx="0" presStyleCnt="2"/>
      <dgm:spPr/>
      <dgm:t>
        <a:bodyPr/>
        <a:lstStyle/>
        <a:p>
          <a:endParaRPr lang="en-US"/>
        </a:p>
      </dgm:t>
    </dgm:pt>
    <dgm:pt modelId="{B37DE07C-E474-498A-90DC-73F2D9747827}" type="pres">
      <dgm:prSet presAssocID="{A3E15652-3425-4C42-82C1-5568F38ACE1E}" presName="root2" presStyleCnt="0"/>
      <dgm:spPr/>
      <dgm:t>
        <a:bodyPr/>
        <a:lstStyle/>
        <a:p>
          <a:endParaRPr lang="en-US"/>
        </a:p>
      </dgm:t>
    </dgm:pt>
    <dgm:pt modelId="{4BCD5DFD-210B-4991-BB85-C69C0220A2A2}" type="pres">
      <dgm:prSet presAssocID="{A3E15652-3425-4C42-82C1-5568F38ACE1E}" presName="LevelTwoTextNode" presStyleLbl="node2" presStyleIdx="0" presStyleCnt="2" custScaleX="191989" custScaleY="1460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82648EA-CD27-45FC-8F77-87DC224F9082}" type="pres">
      <dgm:prSet presAssocID="{A3E15652-3425-4C42-82C1-5568F38ACE1E}" presName="level3hierChild" presStyleCnt="0"/>
      <dgm:spPr/>
      <dgm:t>
        <a:bodyPr/>
        <a:lstStyle/>
        <a:p>
          <a:endParaRPr lang="en-US"/>
        </a:p>
      </dgm:t>
    </dgm:pt>
    <dgm:pt modelId="{AB628F05-23D0-4840-92C3-6D64685CBCB0}" type="pres">
      <dgm:prSet presAssocID="{4D329EB6-32E0-4C16-8FB5-2B4DADCEC118}" presName="conn2-1" presStyleLbl="parChTrans1D3" presStyleIdx="0" presStyleCnt="4"/>
      <dgm:spPr/>
      <dgm:t>
        <a:bodyPr/>
        <a:lstStyle/>
        <a:p>
          <a:endParaRPr lang="en-US"/>
        </a:p>
      </dgm:t>
    </dgm:pt>
    <dgm:pt modelId="{8B13B1E1-FB55-4485-B1C5-C8DC63BA009D}" type="pres">
      <dgm:prSet presAssocID="{4D329EB6-32E0-4C16-8FB5-2B4DADCEC118}" presName="connTx" presStyleLbl="parChTrans1D3" presStyleIdx="0" presStyleCnt="4"/>
      <dgm:spPr/>
      <dgm:t>
        <a:bodyPr/>
        <a:lstStyle/>
        <a:p>
          <a:endParaRPr lang="en-US"/>
        </a:p>
      </dgm:t>
    </dgm:pt>
    <dgm:pt modelId="{64B312A2-59BE-4267-968E-0846FDC58546}" type="pres">
      <dgm:prSet presAssocID="{835B8CE7-A048-4623-9C13-D76D2C2D94FB}" presName="root2" presStyleCnt="0"/>
      <dgm:spPr/>
      <dgm:t>
        <a:bodyPr/>
        <a:lstStyle/>
        <a:p>
          <a:endParaRPr lang="en-US"/>
        </a:p>
      </dgm:t>
    </dgm:pt>
    <dgm:pt modelId="{6F12F753-1B70-48E7-BC1E-DCE1CD75750E}" type="pres">
      <dgm:prSet presAssocID="{835B8CE7-A048-4623-9C13-D76D2C2D94FB}" presName="LevelTwoTextNode" presStyleLbl="node3" presStyleIdx="0" presStyleCnt="4" custScaleX="259939" custScaleY="67429" custLinFactNeighborX="1314" custLinFactNeighborY="-8664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FFEA843-7019-4106-8D5B-FDCBA839AEF8}" type="pres">
      <dgm:prSet presAssocID="{835B8CE7-A048-4623-9C13-D76D2C2D94FB}" presName="level3hierChild" presStyleCnt="0"/>
      <dgm:spPr/>
      <dgm:t>
        <a:bodyPr/>
        <a:lstStyle/>
        <a:p>
          <a:endParaRPr lang="en-US"/>
        </a:p>
      </dgm:t>
    </dgm:pt>
    <dgm:pt modelId="{A76CC29B-60FA-4B11-9AA8-D9385653FAC7}" type="pres">
      <dgm:prSet presAssocID="{4D23CF04-A35D-4E66-B713-F740F2127034}" presName="conn2-1" presStyleLbl="parChTrans1D3" presStyleIdx="1" presStyleCnt="4"/>
      <dgm:spPr/>
      <dgm:t>
        <a:bodyPr/>
        <a:lstStyle/>
        <a:p>
          <a:endParaRPr lang="en-US"/>
        </a:p>
      </dgm:t>
    </dgm:pt>
    <dgm:pt modelId="{156674E7-4917-4E7C-BD72-CD9225174E74}" type="pres">
      <dgm:prSet presAssocID="{4D23CF04-A35D-4E66-B713-F740F2127034}" presName="connTx" presStyleLbl="parChTrans1D3" presStyleIdx="1" presStyleCnt="4"/>
      <dgm:spPr/>
      <dgm:t>
        <a:bodyPr/>
        <a:lstStyle/>
        <a:p>
          <a:endParaRPr lang="en-US"/>
        </a:p>
      </dgm:t>
    </dgm:pt>
    <dgm:pt modelId="{0833BFE5-FDD6-4C38-A622-02DA0576EAF4}" type="pres">
      <dgm:prSet presAssocID="{BA8AC35E-7573-4244-9505-E56F8205CCEE}" presName="root2" presStyleCnt="0"/>
      <dgm:spPr/>
      <dgm:t>
        <a:bodyPr/>
        <a:lstStyle/>
        <a:p>
          <a:endParaRPr lang="en-US"/>
        </a:p>
      </dgm:t>
    </dgm:pt>
    <dgm:pt modelId="{FEC09923-C649-40DC-8C0D-E7571D54DB2B}" type="pres">
      <dgm:prSet presAssocID="{BA8AC35E-7573-4244-9505-E56F8205CCEE}" presName="LevelTwoTextNode" presStyleLbl="node3" presStyleIdx="1" presStyleCnt="4" custScaleX="265208" custScaleY="74871" custLinFactNeighborX="2" custLinFactNeighborY="-8669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EECDFBA-32F6-4FFC-995E-D8039A144D45}" type="pres">
      <dgm:prSet presAssocID="{BA8AC35E-7573-4244-9505-E56F8205CCEE}" presName="level3hierChild" presStyleCnt="0"/>
      <dgm:spPr/>
      <dgm:t>
        <a:bodyPr/>
        <a:lstStyle/>
        <a:p>
          <a:endParaRPr lang="en-US"/>
        </a:p>
      </dgm:t>
    </dgm:pt>
    <dgm:pt modelId="{C8C754D1-3190-4196-9E3C-2975EEDC1686}" type="pres">
      <dgm:prSet presAssocID="{972F0AEA-7DD0-410B-939D-257400FBEE5D}" presName="conn2-1" presStyleLbl="parChTrans1D3" presStyleIdx="2" presStyleCnt="4"/>
      <dgm:spPr/>
      <dgm:t>
        <a:bodyPr/>
        <a:lstStyle/>
        <a:p>
          <a:endParaRPr lang="en-US"/>
        </a:p>
      </dgm:t>
    </dgm:pt>
    <dgm:pt modelId="{F3A183D6-0839-4E62-855D-D48AFC13A820}" type="pres">
      <dgm:prSet presAssocID="{972F0AEA-7DD0-410B-939D-257400FBEE5D}" presName="connTx" presStyleLbl="parChTrans1D3" presStyleIdx="2" presStyleCnt="4"/>
      <dgm:spPr/>
      <dgm:t>
        <a:bodyPr/>
        <a:lstStyle/>
        <a:p>
          <a:endParaRPr lang="en-US"/>
        </a:p>
      </dgm:t>
    </dgm:pt>
    <dgm:pt modelId="{404080D5-255D-4B4E-AE02-6A92033BC4D8}" type="pres">
      <dgm:prSet presAssocID="{609543FE-F59A-45A7-9E80-F24DAA1A757F}" presName="root2" presStyleCnt="0"/>
      <dgm:spPr/>
      <dgm:t>
        <a:bodyPr/>
        <a:lstStyle/>
        <a:p>
          <a:endParaRPr lang="en-US"/>
        </a:p>
      </dgm:t>
    </dgm:pt>
    <dgm:pt modelId="{7FD3C2FD-0827-4417-8B3F-32E3A7B62F9A}" type="pres">
      <dgm:prSet presAssocID="{609543FE-F59A-45A7-9E80-F24DAA1A757F}" presName="LevelTwoTextNode" presStyleLbl="node3" presStyleIdx="2" presStyleCnt="4" custScaleX="267871" custScaleY="98501" custLinFactNeighborX="2" custLinFactNeighborY="-945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74AF38B-DFC9-46EF-A2B8-7CB6B56820EE}" type="pres">
      <dgm:prSet presAssocID="{609543FE-F59A-45A7-9E80-F24DAA1A757F}" presName="level3hierChild" presStyleCnt="0"/>
      <dgm:spPr/>
      <dgm:t>
        <a:bodyPr/>
        <a:lstStyle/>
        <a:p>
          <a:endParaRPr lang="en-US"/>
        </a:p>
      </dgm:t>
    </dgm:pt>
    <dgm:pt modelId="{9957AF33-0ACA-4C63-B9D1-09075220B3A1}" type="pres">
      <dgm:prSet presAssocID="{0A48EABE-9594-4A65-93B9-C25C591B62D3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92F980DD-29D0-47ED-A6AC-991FA00F4A78}" type="pres">
      <dgm:prSet presAssocID="{0A48EABE-9594-4A65-93B9-C25C591B62D3}" presName="connTx" presStyleLbl="parChTrans1D2" presStyleIdx="1" presStyleCnt="2"/>
      <dgm:spPr/>
      <dgm:t>
        <a:bodyPr/>
        <a:lstStyle/>
        <a:p>
          <a:endParaRPr lang="en-US"/>
        </a:p>
      </dgm:t>
    </dgm:pt>
    <dgm:pt modelId="{45C58962-AF9A-49F1-9F14-4C71F5AD2AA0}" type="pres">
      <dgm:prSet presAssocID="{2519DDA3-05F0-4AAB-8FA7-E1C388CEF7D6}" presName="root2" presStyleCnt="0"/>
      <dgm:spPr/>
      <dgm:t>
        <a:bodyPr/>
        <a:lstStyle/>
        <a:p>
          <a:endParaRPr lang="en-US"/>
        </a:p>
      </dgm:t>
    </dgm:pt>
    <dgm:pt modelId="{B7EFD91A-52F1-47CC-AD3E-68729CBED000}" type="pres">
      <dgm:prSet presAssocID="{2519DDA3-05F0-4AAB-8FA7-E1C388CEF7D6}" presName="LevelTwoTextNode" presStyleLbl="node2" presStyleIdx="1" presStyleCnt="2" custScaleX="202020" custScaleY="192335" custLinFactY="15661" custLinFactNeighborX="-1317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E84D882-1EFD-4AA8-B6BD-4DC26D364CE0}" type="pres">
      <dgm:prSet presAssocID="{2519DDA3-05F0-4AAB-8FA7-E1C388CEF7D6}" presName="level3hierChild" presStyleCnt="0"/>
      <dgm:spPr/>
      <dgm:t>
        <a:bodyPr/>
        <a:lstStyle/>
        <a:p>
          <a:endParaRPr lang="en-US"/>
        </a:p>
      </dgm:t>
    </dgm:pt>
    <dgm:pt modelId="{3B966FDE-C666-4EE6-A168-31D89CFA9324}" type="pres">
      <dgm:prSet presAssocID="{DB07044F-630B-4E9F-9B38-46FEC97A5D45}" presName="conn2-1" presStyleLbl="parChTrans1D3" presStyleIdx="3" presStyleCnt="4"/>
      <dgm:spPr/>
      <dgm:t>
        <a:bodyPr/>
        <a:lstStyle/>
        <a:p>
          <a:endParaRPr lang="en-US"/>
        </a:p>
      </dgm:t>
    </dgm:pt>
    <dgm:pt modelId="{622BC73F-FFBB-498C-934C-140C7BEF075B}" type="pres">
      <dgm:prSet presAssocID="{DB07044F-630B-4E9F-9B38-46FEC97A5D45}" presName="connTx" presStyleLbl="parChTrans1D3" presStyleIdx="3" presStyleCnt="4"/>
      <dgm:spPr/>
      <dgm:t>
        <a:bodyPr/>
        <a:lstStyle/>
        <a:p>
          <a:endParaRPr lang="en-US"/>
        </a:p>
      </dgm:t>
    </dgm:pt>
    <dgm:pt modelId="{773511E4-070F-4842-AEBB-CA8EB57AB330}" type="pres">
      <dgm:prSet presAssocID="{C4AF3E0F-E44B-4C6B-81D9-3F1BC7A59C04}" presName="root2" presStyleCnt="0"/>
      <dgm:spPr/>
      <dgm:t>
        <a:bodyPr/>
        <a:lstStyle/>
        <a:p>
          <a:endParaRPr lang="en-US"/>
        </a:p>
      </dgm:t>
    </dgm:pt>
    <dgm:pt modelId="{4A4F9484-D2EC-495B-AC52-82DA9C69DE06}" type="pres">
      <dgm:prSet presAssocID="{C4AF3E0F-E44B-4C6B-81D9-3F1BC7A59C04}" presName="LevelTwoTextNode" presStyleLbl="node3" presStyleIdx="3" presStyleCnt="4" custScaleX="265699" custScaleY="130178" custLinFactY="44101" custLinFactNeighborX="-12882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056CBB2-79F7-4DE3-A18B-C2596DBFB313}" type="pres">
      <dgm:prSet presAssocID="{C4AF3E0F-E44B-4C6B-81D9-3F1BC7A59C04}" presName="level3hierChild" presStyleCnt="0"/>
      <dgm:spPr/>
      <dgm:t>
        <a:bodyPr/>
        <a:lstStyle/>
        <a:p>
          <a:endParaRPr lang="en-US"/>
        </a:p>
      </dgm:t>
    </dgm:pt>
  </dgm:ptLst>
  <dgm:cxnLst>
    <dgm:cxn modelId="{F6AA04AE-0376-4645-872A-0FD8B0EC1403}" type="presOf" srcId="{835B8CE7-A048-4623-9C13-D76D2C2D94FB}" destId="{6F12F753-1B70-48E7-BC1E-DCE1CD75750E}" srcOrd="0" destOrd="0" presId="urn:microsoft.com/office/officeart/2005/8/layout/hierarchy2"/>
    <dgm:cxn modelId="{09C93F95-7E60-4245-91FF-A9ECEAD1D642}" type="presOf" srcId="{4D23CF04-A35D-4E66-B713-F740F2127034}" destId="{156674E7-4917-4E7C-BD72-CD9225174E74}" srcOrd="1" destOrd="0" presId="urn:microsoft.com/office/officeart/2005/8/layout/hierarchy2"/>
    <dgm:cxn modelId="{3D131D4A-F499-4DCD-B87A-963D5017AA51}" type="presOf" srcId="{4D23CF04-A35D-4E66-B713-F740F2127034}" destId="{A76CC29B-60FA-4B11-9AA8-D9385653FAC7}" srcOrd="0" destOrd="0" presId="urn:microsoft.com/office/officeart/2005/8/layout/hierarchy2"/>
    <dgm:cxn modelId="{A30A1280-BBD0-4ACD-B50E-FFF55B0550BE}" srcId="{A3E15652-3425-4C42-82C1-5568F38ACE1E}" destId="{609543FE-F59A-45A7-9E80-F24DAA1A757F}" srcOrd="2" destOrd="0" parTransId="{972F0AEA-7DD0-410B-939D-257400FBEE5D}" sibTransId="{E761EBDE-62BB-4396-81F2-B80852DDE0F0}"/>
    <dgm:cxn modelId="{4E059A0B-488C-4705-8477-316848D9FEB1}" type="presOf" srcId="{C9BCB4B2-6BF8-492B-B282-36125F38CB5E}" destId="{E1413BB5-ECF9-4EAB-871C-E46CB1F2C528}" srcOrd="0" destOrd="0" presId="urn:microsoft.com/office/officeart/2005/8/layout/hierarchy2"/>
    <dgm:cxn modelId="{78317D6F-7BBC-43AE-8EAD-A046FE3BD2DA}" type="presOf" srcId="{0A48EABE-9594-4A65-93B9-C25C591B62D3}" destId="{9957AF33-0ACA-4C63-B9D1-09075220B3A1}" srcOrd="0" destOrd="0" presId="urn:microsoft.com/office/officeart/2005/8/layout/hierarchy2"/>
    <dgm:cxn modelId="{20B0EDE7-B887-4300-8A37-AC9D9485F247}" srcId="{61145A31-C034-4EAF-A8A4-078A70E9D875}" destId="{A3E15652-3425-4C42-82C1-5568F38ACE1E}" srcOrd="0" destOrd="0" parTransId="{C9BCB4B2-6BF8-492B-B282-36125F38CB5E}" sibTransId="{75BB8170-3ABE-4D38-9A35-FBE6AD42CFA3}"/>
    <dgm:cxn modelId="{A23122EF-ACCA-4538-95E0-F09740379C25}" type="presOf" srcId="{A3E15652-3425-4C42-82C1-5568F38ACE1E}" destId="{4BCD5DFD-210B-4991-BB85-C69C0220A2A2}" srcOrd="0" destOrd="0" presId="urn:microsoft.com/office/officeart/2005/8/layout/hierarchy2"/>
    <dgm:cxn modelId="{9AB0BB40-D396-4C47-BCF8-48F2AEC77E57}" type="presOf" srcId="{972F0AEA-7DD0-410B-939D-257400FBEE5D}" destId="{F3A183D6-0839-4E62-855D-D48AFC13A820}" srcOrd="1" destOrd="0" presId="urn:microsoft.com/office/officeart/2005/8/layout/hierarchy2"/>
    <dgm:cxn modelId="{777554F0-2D3D-4984-A97E-974660C7BD7A}" type="presOf" srcId="{D648EA04-471A-49EC-B524-F780FD66F67F}" destId="{B5EA8D81-B6E8-4AA5-A2D9-BC18F79B813A}" srcOrd="0" destOrd="0" presId="urn:microsoft.com/office/officeart/2005/8/layout/hierarchy2"/>
    <dgm:cxn modelId="{094FC7A0-B54D-4C07-9040-9E78359D72E8}" srcId="{D648EA04-471A-49EC-B524-F780FD66F67F}" destId="{61145A31-C034-4EAF-A8A4-078A70E9D875}" srcOrd="0" destOrd="0" parTransId="{DD9725CD-0ADC-4A11-9EC3-2DCFC3179E73}" sibTransId="{102B095D-17BB-4BC3-AA09-8E7D37D11CB4}"/>
    <dgm:cxn modelId="{3C041CA9-0317-4906-961B-0763A96B1BD2}" type="presOf" srcId="{C4AF3E0F-E44B-4C6B-81D9-3F1BC7A59C04}" destId="{4A4F9484-D2EC-495B-AC52-82DA9C69DE06}" srcOrd="0" destOrd="0" presId="urn:microsoft.com/office/officeart/2005/8/layout/hierarchy2"/>
    <dgm:cxn modelId="{619F27D2-8DA4-4B3A-AE16-B82F68DE8939}" type="presOf" srcId="{4D329EB6-32E0-4C16-8FB5-2B4DADCEC118}" destId="{8B13B1E1-FB55-4485-B1C5-C8DC63BA009D}" srcOrd="1" destOrd="0" presId="urn:microsoft.com/office/officeart/2005/8/layout/hierarchy2"/>
    <dgm:cxn modelId="{42164924-C07C-4EBE-B06B-32BCA76E0D03}" type="presOf" srcId="{972F0AEA-7DD0-410B-939D-257400FBEE5D}" destId="{C8C754D1-3190-4196-9E3C-2975EEDC1686}" srcOrd="0" destOrd="0" presId="urn:microsoft.com/office/officeart/2005/8/layout/hierarchy2"/>
    <dgm:cxn modelId="{074A940B-30A8-49AF-810A-AD6096A66514}" type="presOf" srcId="{4D329EB6-32E0-4C16-8FB5-2B4DADCEC118}" destId="{AB628F05-23D0-4840-92C3-6D64685CBCB0}" srcOrd="0" destOrd="0" presId="urn:microsoft.com/office/officeart/2005/8/layout/hierarchy2"/>
    <dgm:cxn modelId="{DF5BF017-63A7-4407-98F4-0B65C3217E85}" srcId="{61145A31-C034-4EAF-A8A4-078A70E9D875}" destId="{2519DDA3-05F0-4AAB-8FA7-E1C388CEF7D6}" srcOrd="1" destOrd="0" parTransId="{0A48EABE-9594-4A65-93B9-C25C591B62D3}" sibTransId="{824D14E8-F053-4C7E-96C0-0E2C2CCD34FC}"/>
    <dgm:cxn modelId="{09766DEF-0508-4C31-8C38-73E190908AA5}" type="presOf" srcId="{DB07044F-630B-4E9F-9B38-46FEC97A5D45}" destId="{622BC73F-FFBB-498C-934C-140C7BEF075B}" srcOrd="1" destOrd="0" presId="urn:microsoft.com/office/officeart/2005/8/layout/hierarchy2"/>
    <dgm:cxn modelId="{01F718D2-0B5A-46FE-9F14-39B4F70DC575}" srcId="{A3E15652-3425-4C42-82C1-5568F38ACE1E}" destId="{835B8CE7-A048-4623-9C13-D76D2C2D94FB}" srcOrd="0" destOrd="0" parTransId="{4D329EB6-32E0-4C16-8FB5-2B4DADCEC118}" sibTransId="{5451F480-5F16-4CFE-A27C-E0E028986F61}"/>
    <dgm:cxn modelId="{B4906023-AC4F-4208-920B-9A191E7EEF70}" type="presOf" srcId="{2519DDA3-05F0-4AAB-8FA7-E1C388CEF7D6}" destId="{B7EFD91A-52F1-47CC-AD3E-68729CBED000}" srcOrd="0" destOrd="0" presId="urn:microsoft.com/office/officeart/2005/8/layout/hierarchy2"/>
    <dgm:cxn modelId="{ECA3B452-2C3E-4DFF-879D-E089C14EAE80}" type="presOf" srcId="{C9BCB4B2-6BF8-492B-B282-36125F38CB5E}" destId="{D9B172E8-2104-477D-A1EA-57C81D5BA5B4}" srcOrd="1" destOrd="0" presId="urn:microsoft.com/office/officeart/2005/8/layout/hierarchy2"/>
    <dgm:cxn modelId="{1F1EF160-95B7-4C5D-A87A-085748FFA108}" srcId="{A3E15652-3425-4C42-82C1-5568F38ACE1E}" destId="{BA8AC35E-7573-4244-9505-E56F8205CCEE}" srcOrd="1" destOrd="0" parTransId="{4D23CF04-A35D-4E66-B713-F740F2127034}" sibTransId="{F6B0EA66-DB42-463D-A533-3CA21A4044D9}"/>
    <dgm:cxn modelId="{C971225F-157C-4A10-B45C-9403B4AAFDE7}" type="presOf" srcId="{609543FE-F59A-45A7-9E80-F24DAA1A757F}" destId="{7FD3C2FD-0827-4417-8B3F-32E3A7B62F9A}" srcOrd="0" destOrd="0" presId="urn:microsoft.com/office/officeart/2005/8/layout/hierarchy2"/>
    <dgm:cxn modelId="{441A8343-0539-4935-8D5B-7AA1798ED8FE}" srcId="{2519DDA3-05F0-4AAB-8FA7-E1C388CEF7D6}" destId="{C4AF3E0F-E44B-4C6B-81D9-3F1BC7A59C04}" srcOrd="0" destOrd="0" parTransId="{DB07044F-630B-4E9F-9B38-46FEC97A5D45}" sibTransId="{1B109CC8-1DE9-4FDD-92C0-B17F8A002F20}"/>
    <dgm:cxn modelId="{D2BD56EB-6FCB-42AB-8612-332469A14A56}" type="presOf" srcId="{61145A31-C034-4EAF-A8A4-078A70E9D875}" destId="{751E19DD-F797-41B8-8914-D8852296ECC3}" srcOrd="0" destOrd="0" presId="urn:microsoft.com/office/officeart/2005/8/layout/hierarchy2"/>
    <dgm:cxn modelId="{4EFF3328-F7D1-4121-807C-C030A64FE0E7}" type="presOf" srcId="{BA8AC35E-7573-4244-9505-E56F8205CCEE}" destId="{FEC09923-C649-40DC-8C0D-E7571D54DB2B}" srcOrd="0" destOrd="0" presId="urn:microsoft.com/office/officeart/2005/8/layout/hierarchy2"/>
    <dgm:cxn modelId="{5E51B243-3369-48FE-9683-79B1651ACF77}" type="presOf" srcId="{DB07044F-630B-4E9F-9B38-46FEC97A5D45}" destId="{3B966FDE-C666-4EE6-A168-31D89CFA9324}" srcOrd="0" destOrd="0" presId="urn:microsoft.com/office/officeart/2005/8/layout/hierarchy2"/>
    <dgm:cxn modelId="{2C9CA0FC-5E7C-4C28-B8C3-809FF8A262E2}" type="presOf" srcId="{0A48EABE-9594-4A65-93B9-C25C591B62D3}" destId="{92F980DD-29D0-47ED-A6AC-991FA00F4A78}" srcOrd="1" destOrd="0" presId="urn:microsoft.com/office/officeart/2005/8/layout/hierarchy2"/>
    <dgm:cxn modelId="{F516F6CD-E60F-426C-8972-2CEC88DE1E68}" type="presParOf" srcId="{B5EA8D81-B6E8-4AA5-A2D9-BC18F79B813A}" destId="{9BE5B271-4A8E-4A85-A5ED-879D46DB3FA3}" srcOrd="0" destOrd="0" presId="urn:microsoft.com/office/officeart/2005/8/layout/hierarchy2"/>
    <dgm:cxn modelId="{49873318-55CD-4F94-B421-97039993E0E3}" type="presParOf" srcId="{9BE5B271-4A8E-4A85-A5ED-879D46DB3FA3}" destId="{751E19DD-F797-41B8-8914-D8852296ECC3}" srcOrd="0" destOrd="0" presId="urn:microsoft.com/office/officeart/2005/8/layout/hierarchy2"/>
    <dgm:cxn modelId="{7A5EAD11-1DA6-4056-8E6A-0D616F1954BA}" type="presParOf" srcId="{9BE5B271-4A8E-4A85-A5ED-879D46DB3FA3}" destId="{E68502A9-EA0C-42BE-BC6C-86017EDFCE7F}" srcOrd="1" destOrd="0" presId="urn:microsoft.com/office/officeart/2005/8/layout/hierarchy2"/>
    <dgm:cxn modelId="{B2655FAE-9C03-4349-B732-93F3038BD54A}" type="presParOf" srcId="{E68502A9-EA0C-42BE-BC6C-86017EDFCE7F}" destId="{E1413BB5-ECF9-4EAB-871C-E46CB1F2C528}" srcOrd="0" destOrd="0" presId="urn:microsoft.com/office/officeart/2005/8/layout/hierarchy2"/>
    <dgm:cxn modelId="{A2784748-5C13-4669-9E68-EF7C777930E9}" type="presParOf" srcId="{E1413BB5-ECF9-4EAB-871C-E46CB1F2C528}" destId="{D9B172E8-2104-477D-A1EA-57C81D5BA5B4}" srcOrd="0" destOrd="0" presId="urn:microsoft.com/office/officeart/2005/8/layout/hierarchy2"/>
    <dgm:cxn modelId="{D7ACCF3B-2A2F-434A-AD3C-6FBE617E06B0}" type="presParOf" srcId="{E68502A9-EA0C-42BE-BC6C-86017EDFCE7F}" destId="{B37DE07C-E474-498A-90DC-73F2D9747827}" srcOrd="1" destOrd="0" presId="urn:microsoft.com/office/officeart/2005/8/layout/hierarchy2"/>
    <dgm:cxn modelId="{50491140-CD1F-4FD5-AB17-672DA0F0F9A4}" type="presParOf" srcId="{B37DE07C-E474-498A-90DC-73F2D9747827}" destId="{4BCD5DFD-210B-4991-BB85-C69C0220A2A2}" srcOrd="0" destOrd="0" presId="urn:microsoft.com/office/officeart/2005/8/layout/hierarchy2"/>
    <dgm:cxn modelId="{E150F2EF-2B2B-4FBB-AB68-FA37F789ACB3}" type="presParOf" srcId="{B37DE07C-E474-498A-90DC-73F2D9747827}" destId="{F82648EA-CD27-45FC-8F77-87DC224F9082}" srcOrd="1" destOrd="0" presId="urn:microsoft.com/office/officeart/2005/8/layout/hierarchy2"/>
    <dgm:cxn modelId="{D6EAC20C-46BF-440C-A5BB-C0BD55073F0B}" type="presParOf" srcId="{F82648EA-CD27-45FC-8F77-87DC224F9082}" destId="{AB628F05-23D0-4840-92C3-6D64685CBCB0}" srcOrd="0" destOrd="0" presId="urn:microsoft.com/office/officeart/2005/8/layout/hierarchy2"/>
    <dgm:cxn modelId="{7E554208-19EA-4B6C-B605-970FA163176E}" type="presParOf" srcId="{AB628F05-23D0-4840-92C3-6D64685CBCB0}" destId="{8B13B1E1-FB55-4485-B1C5-C8DC63BA009D}" srcOrd="0" destOrd="0" presId="urn:microsoft.com/office/officeart/2005/8/layout/hierarchy2"/>
    <dgm:cxn modelId="{4E680D02-4FA7-4F9E-A8BF-F018E16EBA19}" type="presParOf" srcId="{F82648EA-CD27-45FC-8F77-87DC224F9082}" destId="{64B312A2-59BE-4267-968E-0846FDC58546}" srcOrd="1" destOrd="0" presId="urn:microsoft.com/office/officeart/2005/8/layout/hierarchy2"/>
    <dgm:cxn modelId="{30EFD061-BF80-465D-B7D4-D12CE214EC23}" type="presParOf" srcId="{64B312A2-59BE-4267-968E-0846FDC58546}" destId="{6F12F753-1B70-48E7-BC1E-DCE1CD75750E}" srcOrd="0" destOrd="0" presId="urn:microsoft.com/office/officeart/2005/8/layout/hierarchy2"/>
    <dgm:cxn modelId="{82B66868-4B60-412B-A6D4-9C67A0A0F04E}" type="presParOf" srcId="{64B312A2-59BE-4267-968E-0846FDC58546}" destId="{9FFEA843-7019-4106-8D5B-FDCBA839AEF8}" srcOrd="1" destOrd="0" presId="urn:microsoft.com/office/officeart/2005/8/layout/hierarchy2"/>
    <dgm:cxn modelId="{EB1F1923-CC00-4139-982E-8258AE6E96CD}" type="presParOf" srcId="{F82648EA-CD27-45FC-8F77-87DC224F9082}" destId="{A76CC29B-60FA-4B11-9AA8-D9385653FAC7}" srcOrd="2" destOrd="0" presId="urn:microsoft.com/office/officeart/2005/8/layout/hierarchy2"/>
    <dgm:cxn modelId="{A2135BB6-1335-4B42-9CCB-9464B8354575}" type="presParOf" srcId="{A76CC29B-60FA-4B11-9AA8-D9385653FAC7}" destId="{156674E7-4917-4E7C-BD72-CD9225174E74}" srcOrd="0" destOrd="0" presId="urn:microsoft.com/office/officeart/2005/8/layout/hierarchy2"/>
    <dgm:cxn modelId="{2C6DB46A-777C-4B1E-B7C0-97327791B60C}" type="presParOf" srcId="{F82648EA-CD27-45FC-8F77-87DC224F9082}" destId="{0833BFE5-FDD6-4C38-A622-02DA0576EAF4}" srcOrd="3" destOrd="0" presId="urn:microsoft.com/office/officeart/2005/8/layout/hierarchy2"/>
    <dgm:cxn modelId="{6689DC4A-BFFA-48F8-8D09-CD16F5D7C198}" type="presParOf" srcId="{0833BFE5-FDD6-4C38-A622-02DA0576EAF4}" destId="{FEC09923-C649-40DC-8C0D-E7571D54DB2B}" srcOrd="0" destOrd="0" presId="urn:microsoft.com/office/officeart/2005/8/layout/hierarchy2"/>
    <dgm:cxn modelId="{3B2585D8-9B8F-432D-8B00-5D179441410C}" type="presParOf" srcId="{0833BFE5-FDD6-4C38-A622-02DA0576EAF4}" destId="{CEECDFBA-32F6-4FFC-995E-D8039A144D45}" srcOrd="1" destOrd="0" presId="urn:microsoft.com/office/officeart/2005/8/layout/hierarchy2"/>
    <dgm:cxn modelId="{3C8A053F-2F37-41F5-912A-3A40B9317331}" type="presParOf" srcId="{F82648EA-CD27-45FC-8F77-87DC224F9082}" destId="{C8C754D1-3190-4196-9E3C-2975EEDC1686}" srcOrd="4" destOrd="0" presId="urn:microsoft.com/office/officeart/2005/8/layout/hierarchy2"/>
    <dgm:cxn modelId="{64268093-4DA1-449B-B843-242BA5891A98}" type="presParOf" srcId="{C8C754D1-3190-4196-9E3C-2975EEDC1686}" destId="{F3A183D6-0839-4E62-855D-D48AFC13A820}" srcOrd="0" destOrd="0" presId="urn:microsoft.com/office/officeart/2005/8/layout/hierarchy2"/>
    <dgm:cxn modelId="{435B6E4B-88EC-4DDF-A710-296B0F1E8912}" type="presParOf" srcId="{F82648EA-CD27-45FC-8F77-87DC224F9082}" destId="{404080D5-255D-4B4E-AE02-6A92033BC4D8}" srcOrd="5" destOrd="0" presId="urn:microsoft.com/office/officeart/2005/8/layout/hierarchy2"/>
    <dgm:cxn modelId="{C14E42DD-26A4-44F4-9099-3A461A9D2DF8}" type="presParOf" srcId="{404080D5-255D-4B4E-AE02-6A92033BC4D8}" destId="{7FD3C2FD-0827-4417-8B3F-32E3A7B62F9A}" srcOrd="0" destOrd="0" presId="urn:microsoft.com/office/officeart/2005/8/layout/hierarchy2"/>
    <dgm:cxn modelId="{1E31DDBC-58D3-4DF1-8FFF-212E35612653}" type="presParOf" srcId="{404080D5-255D-4B4E-AE02-6A92033BC4D8}" destId="{074AF38B-DFC9-46EF-A2B8-7CB6B56820EE}" srcOrd="1" destOrd="0" presId="urn:microsoft.com/office/officeart/2005/8/layout/hierarchy2"/>
    <dgm:cxn modelId="{768A78C1-478B-49E1-B86E-AE9CE704842A}" type="presParOf" srcId="{E68502A9-EA0C-42BE-BC6C-86017EDFCE7F}" destId="{9957AF33-0ACA-4C63-B9D1-09075220B3A1}" srcOrd="2" destOrd="0" presId="urn:microsoft.com/office/officeart/2005/8/layout/hierarchy2"/>
    <dgm:cxn modelId="{F87562A3-6101-45F7-B959-5FB0E414DA39}" type="presParOf" srcId="{9957AF33-0ACA-4C63-B9D1-09075220B3A1}" destId="{92F980DD-29D0-47ED-A6AC-991FA00F4A78}" srcOrd="0" destOrd="0" presId="urn:microsoft.com/office/officeart/2005/8/layout/hierarchy2"/>
    <dgm:cxn modelId="{9D82455A-8884-4EF3-BF1A-72DA642EE496}" type="presParOf" srcId="{E68502A9-EA0C-42BE-BC6C-86017EDFCE7F}" destId="{45C58962-AF9A-49F1-9F14-4C71F5AD2AA0}" srcOrd="3" destOrd="0" presId="urn:microsoft.com/office/officeart/2005/8/layout/hierarchy2"/>
    <dgm:cxn modelId="{E3DF5319-333F-4260-905D-04A96EEA27F4}" type="presParOf" srcId="{45C58962-AF9A-49F1-9F14-4C71F5AD2AA0}" destId="{B7EFD91A-52F1-47CC-AD3E-68729CBED000}" srcOrd="0" destOrd="0" presId="urn:microsoft.com/office/officeart/2005/8/layout/hierarchy2"/>
    <dgm:cxn modelId="{E9F88BEB-723A-43FD-952E-A4997ABD3561}" type="presParOf" srcId="{45C58962-AF9A-49F1-9F14-4C71F5AD2AA0}" destId="{5E84D882-1EFD-4AA8-B6BD-4DC26D364CE0}" srcOrd="1" destOrd="0" presId="urn:microsoft.com/office/officeart/2005/8/layout/hierarchy2"/>
    <dgm:cxn modelId="{876B9F57-C363-4E8F-A7F7-584BAA25C3F6}" type="presParOf" srcId="{5E84D882-1EFD-4AA8-B6BD-4DC26D364CE0}" destId="{3B966FDE-C666-4EE6-A168-31D89CFA9324}" srcOrd="0" destOrd="0" presId="urn:microsoft.com/office/officeart/2005/8/layout/hierarchy2"/>
    <dgm:cxn modelId="{AF3AA77F-A58A-489C-88CA-1588BFB1538D}" type="presParOf" srcId="{3B966FDE-C666-4EE6-A168-31D89CFA9324}" destId="{622BC73F-FFBB-498C-934C-140C7BEF075B}" srcOrd="0" destOrd="0" presId="urn:microsoft.com/office/officeart/2005/8/layout/hierarchy2"/>
    <dgm:cxn modelId="{5576AA4C-AF3A-4DC4-BBE3-D784BC4F9C20}" type="presParOf" srcId="{5E84D882-1EFD-4AA8-B6BD-4DC26D364CE0}" destId="{773511E4-070F-4842-AEBB-CA8EB57AB330}" srcOrd="1" destOrd="0" presId="urn:microsoft.com/office/officeart/2005/8/layout/hierarchy2"/>
    <dgm:cxn modelId="{6D2C0E4C-4313-435E-A5BB-094FCDC3A4E8}" type="presParOf" srcId="{773511E4-070F-4842-AEBB-CA8EB57AB330}" destId="{4A4F9484-D2EC-495B-AC52-82DA9C69DE06}" srcOrd="0" destOrd="0" presId="urn:microsoft.com/office/officeart/2005/8/layout/hierarchy2"/>
    <dgm:cxn modelId="{A2C37362-369D-46EB-945D-DA92E414411C}" type="presParOf" srcId="{773511E4-070F-4842-AEBB-CA8EB57AB330}" destId="{F056CBB2-79F7-4DE3-A18B-C2596DBFB313}" srcOrd="1" destOrd="0" presId="urn:microsoft.com/office/officeart/2005/8/layout/hierarchy2"/>
  </dgm:cxnLst>
  <dgm:bg>
    <a:solidFill>
      <a:srgbClr val="9999FF"/>
    </a:solidFill>
  </dgm:bg>
  <dgm:whole>
    <a:ln>
      <a:solidFill>
        <a:schemeClr val="accent5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153.xml><?xml version="1.0" encoding="utf-8"?>
<dgm:dataModel xmlns:dgm="http://schemas.openxmlformats.org/drawingml/2006/diagram" xmlns:a="http://schemas.openxmlformats.org/drawingml/2006/main">
  <dgm:ptLst>
    <dgm:pt modelId="{865CC63D-3DDC-40ED-BFDC-18BC357DA03C}" type="doc">
      <dgm:prSet loTypeId="urn:microsoft.com/office/officeart/2005/8/layout/pyramid2" loCatId="pyramid" qsTypeId="urn:microsoft.com/office/officeart/2005/8/quickstyle/3d2" qsCatId="3D" csTypeId="urn:microsoft.com/office/officeart/2005/8/colors/accent3_2" csCatId="accent3" phldr="1"/>
      <dgm:spPr/>
    </dgm:pt>
    <dgm:pt modelId="{7035A01C-900F-4A76-9092-83E9FEBA25D1}">
      <dgm:prSet phldrT="[Text]" custT="1"/>
      <dgm:spPr>
        <a:gradFill flip="none" rotWithShape="1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CS" sz="1050"/>
            <a:t>Израда пројектне документације у циљу изградње  и реконструкције саобраћајница 1,40</a:t>
          </a:r>
          <a:r>
            <a:rPr lang="sr-Cyrl-RS" sz="1050"/>
            <a:t>0</a:t>
          </a:r>
          <a:r>
            <a:rPr lang="sr-Cyrl-CS" sz="1050"/>
            <a:t>.000</a:t>
          </a:r>
          <a:endParaRPr lang="en-US" sz="1050"/>
        </a:p>
      </dgm:t>
    </dgm:pt>
    <dgm:pt modelId="{CD730C56-E59F-409D-A556-DDBBAEE4D4C1}" type="parTrans" cxnId="{A40B443B-6595-44FB-8BF8-632DF1FDBB61}">
      <dgm:prSet/>
      <dgm:spPr/>
      <dgm:t>
        <a:bodyPr/>
        <a:lstStyle/>
        <a:p>
          <a:endParaRPr lang="en-US"/>
        </a:p>
      </dgm:t>
    </dgm:pt>
    <dgm:pt modelId="{E3B60045-9FBC-437C-9153-53908F504667}" type="sibTrans" cxnId="{A40B443B-6595-44FB-8BF8-632DF1FDBB61}">
      <dgm:prSet/>
      <dgm:spPr/>
      <dgm:t>
        <a:bodyPr/>
        <a:lstStyle/>
        <a:p>
          <a:endParaRPr lang="en-US"/>
        </a:p>
      </dgm:t>
    </dgm:pt>
    <dgm:pt modelId="{E6888B80-4E5C-4708-967B-2BE70A451FA7}">
      <dgm:prSet phldrT="[Text]" custT="1"/>
      <dgm:spPr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CS" sz="1000"/>
            <a:t>Текуће одржавање локалних саобраћајница </a:t>
          </a:r>
          <a:r>
            <a:rPr lang="sr-Cyrl-RS" sz="1000"/>
            <a:t>46,000,000</a:t>
          </a:r>
          <a:endParaRPr lang="en-US" sz="1000"/>
        </a:p>
      </dgm:t>
    </dgm:pt>
    <dgm:pt modelId="{A5E11E91-CA33-4FDC-A131-F87C435C61EC}" type="parTrans" cxnId="{977B76D0-5466-434A-9320-0DAD1568D5BB}">
      <dgm:prSet/>
      <dgm:spPr/>
      <dgm:t>
        <a:bodyPr/>
        <a:lstStyle/>
        <a:p>
          <a:endParaRPr lang="en-US"/>
        </a:p>
      </dgm:t>
    </dgm:pt>
    <dgm:pt modelId="{A3580502-EA45-4801-8CEB-7016B354610F}" type="sibTrans" cxnId="{977B76D0-5466-434A-9320-0DAD1568D5BB}">
      <dgm:prSet/>
      <dgm:spPr/>
      <dgm:t>
        <a:bodyPr/>
        <a:lstStyle/>
        <a:p>
          <a:endParaRPr lang="en-US"/>
        </a:p>
      </dgm:t>
    </dgm:pt>
    <dgm:pt modelId="{1390BEBA-A370-4678-A80B-19F72AD631AB}">
      <dgm:prSet custT="1"/>
      <dgm:spPr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CS" sz="1000"/>
            <a:t>Изградња и реконструкција локалних путних праваца у сеоским месним заједницама </a:t>
          </a:r>
          <a:r>
            <a:rPr lang="sr-Cyrl-RS" sz="1000"/>
            <a:t>Љутеж, Стубал, Прекодолце, Декутинце,  Сува Морава и Куново</a:t>
          </a:r>
          <a:r>
            <a:rPr lang="sr-Cyrl-CS" sz="1000"/>
            <a:t>...</a:t>
          </a:r>
          <a:r>
            <a:rPr lang="sr-Cyrl-RS" sz="1000"/>
            <a:t>5</a:t>
          </a:r>
          <a:r>
            <a:rPr lang="sr-Cyrl-CS" sz="1000"/>
            <a:t>,</a:t>
          </a:r>
          <a:r>
            <a:rPr lang="sr-Cyrl-RS" sz="1000"/>
            <a:t>6</a:t>
          </a:r>
          <a:r>
            <a:rPr lang="sr-Cyrl-CS" sz="1000"/>
            <a:t>00.000,00 -</a:t>
          </a:r>
          <a:endParaRPr lang="en-US" sz="1000"/>
        </a:p>
      </dgm:t>
    </dgm:pt>
    <dgm:pt modelId="{FC4B563B-48FA-42A3-9A64-D8159E8688D8}" type="parTrans" cxnId="{CF2B3C3E-2F7B-46E5-9CB8-A1FC8E46E6FF}">
      <dgm:prSet/>
      <dgm:spPr/>
      <dgm:t>
        <a:bodyPr/>
        <a:lstStyle/>
        <a:p>
          <a:endParaRPr lang="en-US"/>
        </a:p>
      </dgm:t>
    </dgm:pt>
    <dgm:pt modelId="{CEE223FF-0960-4727-9079-C2BA9E805DBB}" type="sibTrans" cxnId="{CF2B3C3E-2F7B-46E5-9CB8-A1FC8E46E6FF}">
      <dgm:prSet/>
      <dgm:spPr/>
      <dgm:t>
        <a:bodyPr/>
        <a:lstStyle/>
        <a:p>
          <a:endParaRPr lang="en-US"/>
        </a:p>
      </dgm:t>
    </dgm:pt>
    <dgm:pt modelId="{9E0AE494-1A7D-4F9F-86A0-57817FA063A8}">
      <dgm:prSet custT="1"/>
      <dgm:spPr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pPr algn="l"/>
          <a:r>
            <a:rPr lang="sr-Cyrl-CS" sz="1000"/>
            <a:t>Изградња, реконструкција и капитално одржавање градских улица -, Боре Станковића</a:t>
          </a:r>
          <a:r>
            <a:rPr lang="en-GB" sz="1000"/>
            <a:t>, </a:t>
          </a:r>
          <a:r>
            <a:rPr lang="sr-Cyrl-RS" sz="1000"/>
            <a:t>Ивана Милутиновића, Јурија Гагарина</a:t>
          </a:r>
          <a:r>
            <a:rPr lang="sr-Cyrl-CS" sz="1000"/>
            <a:t>,...23.000,000</a:t>
          </a:r>
          <a:endParaRPr lang="en-US" sz="1000"/>
        </a:p>
      </dgm:t>
    </dgm:pt>
    <dgm:pt modelId="{143BA1F9-2A17-4AA4-9F79-3769669DE0EA}" type="parTrans" cxnId="{49115B28-C27F-4C18-88DC-6D36ACC61162}">
      <dgm:prSet/>
      <dgm:spPr/>
      <dgm:t>
        <a:bodyPr/>
        <a:lstStyle/>
        <a:p>
          <a:endParaRPr lang="en-US"/>
        </a:p>
      </dgm:t>
    </dgm:pt>
    <dgm:pt modelId="{F9B7F842-C909-4E7C-8FDA-49186D324C8B}" type="sibTrans" cxnId="{49115B28-C27F-4C18-88DC-6D36ACC61162}">
      <dgm:prSet/>
      <dgm:spPr/>
      <dgm:t>
        <a:bodyPr/>
        <a:lstStyle/>
        <a:p>
          <a:endParaRPr lang="en-US"/>
        </a:p>
      </dgm:t>
    </dgm:pt>
    <dgm:pt modelId="{43B973A5-78C1-461D-88B7-F5A6779596FC}" type="pres">
      <dgm:prSet presAssocID="{865CC63D-3DDC-40ED-BFDC-18BC357DA03C}" presName="compositeShape" presStyleCnt="0">
        <dgm:presLayoutVars>
          <dgm:dir/>
          <dgm:resizeHandles/>
        </dgm:presLayoutVars>
      </dgm:prSet>
      <dgm:spPr/>
    </dgm:pt>
    <dgm:pt modelId="{C3742285-7D07-40B4-95AF-BFF535638D25}" type="pres">
      <dgm:prSet presAssocID="{865CC63D-3DDC-40ED-BFDC-18BC357DA03C}" presName="pyramid" presStyleLbl="node1" presStyleIdx="0" presStyleCnt="1" custScaleY="89447"/>
      <dgm:spPr>
        <a:solidFill>
          <a:srgbClr val="FFFF00"/>
        </a:solidFill>
      </dgm:spPr>
    </dgm:pt>
    <dgm:pt modelId="{33F746F7-11F7-4BBB-BE5D-9368F5229BC9}" type="pres">
      <dgm:prSet presAssocID="{865CC63D-3DDC-40ED-BFDC-18BC357DA03C}" presName="theList" presStyleCnt="0"/>
      <dgm:spPr/>
    </dgm:pt>
    <dgm:pt modelId="{1822CE69-37B4-42B8-A969-4C14C30792DA}" type="pres">
      <dgm:prSet presAssocID="{7035A01C-900F-4A76-9092-83E9FEBA25D1}" presName="aNode" presStyleLbl="fgAcc1" presStyleIdx="0" presStyleCnt="4" custScaleX="128577" custScaleY="590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A8AD7D6-7DEF-4E62-9A21-B85BA5088F52}" type="pres">
      <dgm:prSet presAssocID="{7035A01C-900F-4A76-9092-83E9FEBA25D1}" presName="aSpace" presStyleCnt="0"/>
      <dgm:spPr/>
    </dgm:pt>
    <dgm:pt modelId="{CFA9F3C3-3FA6-463B-B7FA-7501C343696F}" type="pres">
      <dgm:prSet presAssocID="{E6888B80-4E5C-4708-967B-2BE70A451FA7}" presName="aNode" presStyleLbl="fgAcc1" presStyleIdx="1" presStyleCnt="4" custScaleX="129310" custScaleY="583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4A5470D-0AE7-4B02-9D20-836BEF96B1FE}" type="pres">
      <dgm:prSet presAssocID="{E6888B80-4E5C-4708-967B-2BE70A451FA7}" presName="aSpace" presStyleCnt="0"/>
      <dgm:spPr/>
    </dgm:pt>
    <dgm:pt modelId="{AEC9E791-5676-493E-8E9C-9B3520A51F9C}" type="pres">
      <dgm:prSet presAssocID="{1390BEBA-A370-4678-A80B-19F72AD631AB}" presName="aNode" presStyleLbl="fgAcc1" presStyleIdx="2" presStyleCnt="4" custScaleX="135149" custScaleY="95065" custLinFactNeighborX="1832" custLinFactNeighborY="-580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93C2E-9A0D-4FCB-B8F2-D5B2BA7A5EF5}" type="pres">
      <dgm:prSet presAssocID="{1390BEBA-A370-4678-A80B-19F72AD631AB}" presName="aSpace" presStyleCnt="0"/>
      <dgm:spPr/>
    </dgm:pt>
    <dgm:pt modelId="{6BA0DA2D-796A-4386-81AC-6F309F09E76D}" type="pres">
      <dgm:prSet presAssocID="{9E0AE494-1A7D-4F9F-86A0-57817FA063A8}" presName="aNode" presStyleLbl="fgAcc1" presStyleIdx="3" presStyleCnt="4" custScaleX="140305" custScaleY="88161" custLinFactNeighborX="3297" custLinFactNeighborY="374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1E94C4-DE6D-4A45-9CBA-DFD5B0C13672}" type="pres">
      <dgm:prSet presAssocID="{9E0AE494-1A7D-4F9F-86A0-57817FA063A8}" presName="aSpace" presStyleCnt="0"/>
      <dgm:spPr/>
    </dgm:pt>
  </dgm:ptLst>
  <dgm:cxnLst>
    <dgm:cxn modelId="{8BD36FEA-0220-4582-9D89-869263ADAEED}" type="presOf" srcId="{E6888B80-4E5C-4708-967B-2BE70A451FA7}" destId="{CFA9F3C3-3FA6-463B-B7FA-7501C343696F}" srcOrd="0" destOrd="0" presId="urn:microsoft.com/office/officeart/2005/8/layout/pyramid2"/>
    <dgm:cxn modelId="{4DF82503-B1A7-40B6-9EA6-C209751D9648}" type="presOf" srcId="{865CC63D-3DDC-40ED-BFDC-18BC357DA03C}" destId="{43B973A5-78C1-461D-88B7-F5A6779596FC}" srcOrd="0" destOrd="0" presId="urn:microsoft.com/office/officeart/2005/8/layout/pyramid2"/>
    <dgm:cxn modelId="{CF2B3C3E-2F7B-46E5-9CB8-A1FC8E46E6FF}" srcId="{865CC63D-3DDC-40ED-BFDC-18BC357DA03C}" destId="{1390BEBA-A370-4678-A80B-19F72AD631AB}" srcOrd="2" destOrd="0" parTransId="{FC4B563B-48FA-42A3-9A64-D8159E8688D8}" sibTransId="{CEE223FF-0960-4727-9079-C2BA9E805DBB}"/>
    <dgm:cxn modelId="{977B76D0-5466-434A-9320-0DAD1568D5BB}" srcId="{865CC63D-3DDC-40ED-BFDC-18BC357DA03C}" destId="{E6888B80-4E5C-4708-967B-2BE70A451FA7}" srcOrd="1" destOrd="0" parTransId="{A5E11E91-CA33-4FDC-A131-F87C435C61EC}" sibTransId="{A3580502-EA45-4801-8CEB-7016B354610F}"/>
    <dgm:cxn modelId="{49115B28-C27F-4C18-88DC-6D36ACC61162}" srcId="{865CC63D-3DDC-40ED-BFDC-18BC357DA03C}" destId="{9E0AE494-1A7D-4F9F-86A0-57817FA063A8}" srcOrd="3" destOrd="0" parTransId="{143BA1F9-2A17-4AA4-9F79-3769669DE0EA}" sibTransId="{F9B7F842-C909-4E7C-8FDA-49186D324C8B}"/>
    <dgm:cxn modelId="{A40B443B-6595-44FB-8BF8-632DF1FDBB61}" srcId="{865CC63D-3DDC-40ED-BFDC-18BC357DA03C}" destId="{7035A01C-900F-4A76-9092-83E9FEBA25D1}" srcOrd="0" destOrd="0" parTransId="{CD730C56-E59F-409D-A556-DDBBAEE4D4C1}" sibTransId="{E3B60045-9FBC-437C-9153-53908F504667}"/>
    <dgm:cxn modelId="{EB323CC7-50B6-41D3-A9CA-685EE693DB49}" type="presOf" srcId="{7035A01C-900F-4A76-9092-83E9FEBA25D1}" destId="{1822CE69-37B4-42B8-A969-4C14C30792DA}" srcOrd="0" destOrd="0" presId="urn:microsoft.com/office/officeart/2005/8/layout/pyramid2"/>
    <dgm:cxn modelId="{91F32DE2-2BC0-4B0A-BAC7-63AAEFC48305}" type="presOf" srcId="{1390BEBA-A370-4678-A80B-19F72AD631AB}" destId="{AEC9E791-5676-493E-8E9C-9B3520A51F9C}" srcOrd="0" destOrd="0" presId="urn:microsoft.com/office/officeart/2005/8/layout/pyramid2"/>
    <dgm:cxn modelId="{B038DF7A-750F-41B5-A9C3-1B23BC3CDAF9}" type="presOf" srcId="{9E0AE494-1A7D-4F9F-86A0-57817FA063A8}" destId="{6BA0DA2D-796A-4386-81AC-6F309F09E76D}" srcOrd="0" destOrd="0" presId="urn:microsoft.com/office/officeart/2005/8/layout/pyramid2"/>
    <dgm:cxn modelId="{4D45417E-9E77-4529-91DD-27F50A1AE099}" type="presParOf" srcId="{43B973A5-78C1-461D-88B7-F5A6779596FC}" destId="{C3742285-7D07-40B4-95AF-BFF535638D25}" srcOrd="0" destOrd="0" presId="urn:microsoft.com/office/officeart/2005/8/layout/pyramid2"/>
    <dgm:cxn modelId="{2A3928B4-3F64-4DF7-B5CB-5D7953D6A51F}" type="presParOf" srcId="{43B973A5-78C1-461D-88B7-F5A6779596FC}" destId="{33F746F7-11F7-4BBB-BE5D-9368F5229BC9}" srcOrd="1" destOrd="0" presId="urn:microsoft.com/office/officeart/2005/8/layout/pyramid2"/>
    <dgm:cxn modelId="{01D27D6D-5C78-4650-A9E3-BB0753599166}" type="presParOf" srcId="{33F746F7-11F7-4BBB-BE5D-9368F5229BC9}" destId="{1822CE69-37B4-42B8-A969-4C14C30792DA}" srcOrd="0" destOrd="0" presId="urn:microsoft.com/office/officeart/2005/8/layout/pyramid2"/>
    <dgm:cxn modelId="{11893F46-759E-47FE-B224-3A1EBA9B7FC7}" type="presParOf" srcId="{33F746F7-11F7-4BBB-BE5D-9368F5229BC9}" destId="{2A8AD7D6-7DEF-4E62-9A21-B85BA5088F52}" srcOrd="1" destOrd="0" presId="urn:microsoft.com/office/officeart/2005/8/layout/pyramid2"/>
    <dgm:cxn modelId="{15A1E465-954A-43F8-9E74-50714425B480}" type="presParOf" srcId="{33F746F7-11F7-4BBB-BE5D-9368F5229BC9}" destId="{CFA9F3C3-3FA6-463B-B7FA-7501C343696F}" srcOrd="2" destOrd="0" presId="urn:microsoft.com/office/officeart/2005/8/layout/pyramid2"/>
    <dgm:cxn modelId="{E3BD2E1D-D55A-4B51-929C-3F7CB365DF58}" type="presParOf" srcId="{33F746F7-11F7-4BBB-BE5D-9368F5229BC9}" destId="{D4A5470D-0AE7-4B02-9D20-836BEF96B1FE}" srcOrd="3" destOrd="0" presId="urn:microsoft.com/office/officeart/2005/8/layout/pyramid2"/>
    <dgm:cxn modelId="{A45494C1-0A5E-4DCF-9902-A01EE5576133}" type="presParOf" srcId="{33F746F7-11F7-4BBB-BE5D-9368F5229BC9}" destId="{AEC9E791-5676-493E-8E9C-9B3520A51F9C}" srcOrd="4" destOrd="0" presId="urn:microsoft.com/office/officeart/2005/8/layout/pyramid2"/>
    <dgm:cxn modelId="{25C5EAD4-6DC9-40FC-A47B-BA97DDD676B7}" type="presParOf" srcId="{33F746F7-11F7-4BBB-BE5D-9368F5229BC9}" destId="{47C93C2E-9A0D-4FCB-B8F2-D5B2BA7A5EF5}" srcOrd="5" destOrd="0" presId="urn:microsoft.com/office/officeart/2005/8/layout/pyramid2"/>
    <dgm:cxn modelId="{96C3FBA6-8322-4D7A-BAE0-0E745AF011FA}" type="presParOf" srcId="{33F746F7-11F7-4BBB-BE5D-9368F5229BC9}" destId="{6BA0DA2D-796A-4386-81AC-6F309F09E76D}" srcOrd="6" destOrd="0" presId="urn:microsoft.com/office/officeart/2005/8/layout/pyramid2"/>
    <dgm:cxn modelId="{16D6284E-1B54-4FAC-A1BD-CB32E11563FC}" type="presParOf" srcId="{33F746F7-11F7-4BBB-BE5D-9368F5229BC9}" destId="{841E94C4-DE6D-4A45-9CBA-DFD5B0C13672}" srcOrd="7" destOrd="0" presId="urn:microsoft.com/office/officeart/2005/8/layout/pyramid2"/>
  </dgm:cxnLst>
  <dgm:bg>
    <a:solidFill>
      <a:schemeClr val="accent6">
        <a:lumMod val="75000"/>
      </a:schemeClr>
    </a:solidFill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157.xml><?xml version="1.0" encoding="utf-8"?>
<dgm:dataModel xmlns:dgm="http://schemas.openxmlformats.org/drawingml/2006/diagram" xmlns:a="http://schemas.openxmlformats.org/drawingml/2006/main">
  <dgm:ptLst>
    <dgm:pt modelId="{D7A0E5A6-6422-4F97-86D9-C95ACA563C35}" type="doc">
      <dgm:prSet loTypeId="urn:microsoft.com/office/officeart/2005/8/layout/hierarchy1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B2480B75-21D7-4CEA-BFF8-86E458ECF495}">
      <dgm:prSet phldrT="[Text]" custT="1"/>
      <dgm:spPr/>
      <dgm:t>
        <a:bodyPr/>
        <a:lstStyle/>
        <a:p>
          <a:r>
            <a:rPr lang="sr-Cyrl-CS" sz="1050" b="1"/>
            <a:t>ЗАШТИТА ЖИВОТНЕ СРЕДИНЕ  77,850.000,00</a:t>
          </a:r>
          <a:endParaRPr lang="en-US" sz="1050" b="1"/>
        </a:p>
      </dgm:t>
    </dgm:pt>
    <dgm:pt modelId="{32714AF5-BC6E-4BC4-B77E-33B9F97CBDE5}" type="parTrans" cxnId="{20B65312-BFFA-4D9C-8F7E-0881F5A4A595}">
      <dgm:prSet/>
      <dgm:spPr/>
      <dgm:t>
        <a:bodyPr/>
        <a:lstStyle/>
        <a:p>
          <a:endParaRPr lang="en-US"/>
        </a:p>
      </dgm:t>
    </dgm:pt>
    <dgm:pt modelId="{C5CBCFA5-0180-40D1-88D9-CF92FBE9CF63}" type="sibTrans" cxnId="{20B65312-BFFA-4D9C-8F7E-0881F5A4A595}">
      <dgm:prSet/>
      <dgm:spPr/>
      <dgm:t>
        <a:bodyPr/>
        <a:lstStyle/>
        <a:p>
          <a:endParaRPr lang="en-US"/>
        </a:p>
      </dgm:t>
    </dgm:pt>
    <dgm:pt modelId="{C0D2C440-E1D3-449A-85DB-C248B33D9160}">
      <dgm:prSet phldrT="[Text]" custT="1"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sr-Cyrl-CS" sz="1100"/>
            <a:t>одржавање и уређење јавних површина 58,000.000</a:t>
          </a:r>
          <a:endParaRPr lang="en-US" sz="1100"/>
        </a:p>
      </dgm:t>
    </dgm:pt>
    <dgm:pt modelId="{B2FE2496-5F4F-451C-943D-7656AD64894C}" type="parTrans" cxnId="{6240D2EE-E37D-4783-8F6A-0CE0B9832CC4}">
      <dgm:prSet/>
      <dgm:spPr/>
      <dgm:t>
        <a:bodyPr/>
        <a:lstStyle/>
        <a:p>
          <a:endParaRPr lang="en-US"/>
        </a:p>
      </dgm:t>
    </dgm:pt>
    <dgm:pt modelId="{7CDCB5C3-4C59-4989-A209-628826336FF3}" type="sibTrans" cxnId="{6240D2EE-E37D-4783-8F6A-0CE0B9832CC4}">
      <dgm:prSet/>
      <dgm:spPr/>
      <dgm:t>
        <a:bodyPr/>
        <a:lstStyle/>
        <a:p>
          <a:endParaRPr lang="en-US"/>
        </a:p>
      </dgm:t>
    </dgm:pt>
    <dgm:pt modelId="{AD6BD636-F66A-49E2-846C-B855AF2D16FC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Cyrl-CS" sz="1050"/>
            <a:t>одржавање јавних површина 31,000.000</a:t>
          </a:r>
          <a:endParaRPr lang="en-US" sz="1050"/>
        </a:p>
      </dgm:t>
    </dgm:pt>
    <dgm:pt modelId="{0DF1D81B-C1DA-4B44-9E26-61132D30EA7B}" type="parTrans" cxnId="{EBA48278-410C-4F8C-A1FE-D478A3866AFD}">
      <dgm:prSet/>
      <dgm:spPr/>
      <dgm:t>
        <a:bodyPr/>
        <a:lstStyle/>
        <a:p>
          <a:endParaRPr lang="en-US" b="1"/>
        </a:p>
      </dgm:t>
    </dgm:pt>
    <dgm:pt modelId="{E136C69B-6BC9-4A9F-BC3F-ADACFF16FCD8}" type="sibTrans" cxnId="{EBA48278-410C-4F8C-A1FE-D478A3866AFD}">
      <dgm:prSet/>
      <dgm:spPr/>
      <dgm:t>
        <a:bodyPr/>
        <a:lstStyle/>
        <a:p>
          <a:endParaRPr lang="en-US"/>
        </a:p>
      </dgm:t>
    </dgm:pt>
    <dgm:pt modelId="{117B192C-77BE-4157-8E5A-07407898B5E7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Cyrl-CS" sz="1050"/>
            <a:t>одржавање зелених површина 27,000.000</a:t>
          </a:r>
          <a:endParaRPr lang="en-US" sz="1050"/>
        </a:p>
      </dgm:t>
    </dgm:pt>
    <dgm:pt modelId="{B27E4D4F-EE13-42A4-BF28-AB8C9D899728}" type="parTrans" cxnId="{CCFE5F72-8D40-4CED-B6F5-4324231DE1BE}">
      <dgm:prSet/>
      <dgm:spPr/>
      <dgm:t>
        <a:bodyPr/>
        <a:lstStyle/>
        <a:p>
          <a:endParaRPr lang="en-US"/>
        </a:p>
      </dgm:t>
    </dgm:pt>
    <dgm:pt modelId="{E14BB5F1-A052-49A5-87BB-38F86A753959}" type="sibTrans" cxnId="{CCFE5F72-8D40-4CED-B6F5-4324231DE1BE}">
      <dgm:prSet/>
      <dgm:spPr/>
      <dgm:t>
        <a:bodyPr/>
        <a:lstStyle/>
        <a:p>
          <a:endParaRPr lang="en-US"/>
        </a:p>
      </dgm:t>
    </dgm:pt>
    <dgm:pt modelId="{74CA34A4-4D25-47BF-8577-44356975715D}">
      <dgm:prSet phldrT="[Text]" custT="1"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sr-Cyrl-CS" sz="1100"/>
            <a:t>Буџетски фонд за заштиту и унапређење животне средине 19,850.000</a:t>
          </a:r>
          <a:endParaRPr lang="en-US" sz="1100"/>
        </a:p>
      </dgm:t>
    </dgm:pt>
    <dgm:pt modelId="{B4ED8D71-B045-41FB-A1F4-3AFDAB51D1CA}" type="parTrans" cxnId="{E1788EB4-53FF-4793-9EE3-5CB210A87FEC}">
      <dgm:prSet/>
      <dgm:spPr/>
      <dgm:t>
        <a:bodyPr/>
        <a:lstStyle/>
        <a:p>
          <a:endParaRPr lang="en-US"/>
        </a:p>
      </dgm:t>
    </dgm:pt>
    <dgm:pt modelId="{87BF278E-B271-44CB-86D0-329BC01AA4A7}" type="sibTrans" cxnId="{E1788EB4-53FF-4793-9EE3-5CB210A87FEC}">
      <dgm:prSet/>
      <dgm:spPr/>
      <dgm:t>
        <a:bodyPr/>
        <a:lstStyle/>
        <a:p>
          <a:endParaRPr lang="en-US"/>
        </a:p>
      </dgm:t>
    </dgm:pt>
    <dgm:pt modelId="{61186371-8E03-4AAC-A4F5-803BC038D613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Cyrl-CS" sz="1050"/>
            <a:t>управљање отпадним водама </a:t>
          </a:r>
          <a:r>
            <a:rPr lang="sr-Cyrl-RS" sz="1050"/>
            <a:t>15,5</a:t>
          </a:r>
          <a:r>
            <a:rPr lang="sr-Cyrl-CS" sz="1050"/>
            <a:t>00.000</a:t>
          </a:r>
          <a:endParaRPr lang="en-US" sz="1050"/>
        </a:p>
      </dgm:t>
    </dgm:pt>
    <dgm:pt modelId="{109F6691-460C-4900-8CB6-8CABB45FA2BE}" type="parTrans" cxnId="{10AD5751-A474-40B6-9F81-41ADB0A78DC0}">
      <dgm:prSet/>
      <dgm:spPr/>
      <dgm:t>
        <a:bodyPr/>
        <a:lstStyle/>
        <a:p>
          <a:endParaRPr lang="en-US"/>
        </a:p>
      </dgm:t>
    </dgm:pt>
    <dgm:pt modelId="{A1A501A8-136A-4B11-852C-E05D138755E9}" type="sibTrans" cxnId="{10AD5751-A474-40B6-9F81-41ADB0A78DC0}">
      <dgm:prSet/>
      <dgm:spPr/>
      <dgm:t>
        <a:bodyPr/>
        <a:lstStyle/>
        <a:p>
          <a:endParaRPr lang="en-US"/>
        </a:p>
      </dgm:t>
    </dgm:pt>
    <dgm:pt modelId="{BBCA2723-E4E3-49CC-B85C-C37B3D9878C4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US" sz="1050"/>
            <a:t>Зоохигијена</a:t>
          </a:r>
          <a:r>
            <a:rPr lang="sr-Cyrl-RS" sz="1050"/>
            <a:t> и контрола ваздуха</a:t>
          </a:r>
          <a:r>
            <a:rPr lang="en-US" sz="1050"/>
            <a:t> </a:t>
          </a:r>
          <a:r>
            <a:rPr lang="sr-Cyrl-RS" sz="1050"/>
            <a:t>4,35</a:t>
          </a:r>
          <a:r>
            <a:rPr lang="en-US" sz="1050"/>
            <a:t>0.000</a:t>
          </a:r>
        </a:p>
      </dgm:t>
    </dgm:pt>
    <dgm:pt modelId="{4AB2F176-699E-4A58-8603-356F0BBA340E}" type="parTrans" cxnId="{EE4C89EB-C005-4AEB-8972-683EEE5D4776}">
      <dgm:prSet/>
      <dgm:spPr/>
      <dgm:t>
        <a:bodyPr/>
        <a:lstStyle/>
        <a:p>
          <a:endParaRPr lang="en-US"/>
        </a:p>
      </dgm:t>
    </dgm:pt>
    <dgm:pt modelId="{4B688B7A-32D6-40D9-AC3C-D1D3830C4F80}" type="sibTrans" cxnId="{EE4C89EB-C005-4AEB-8972-683EEE5D4776}">
      <dgm:prSet/>
      <dgm:spPr/>
      <dgm:t>
        <a:bodyPr/>
        <a:lstStyle/>
        <a:p>
          <a:endParaRPr lang="en-US"/>
        </a:p>
      </dgm:t>
    </dgm:pt>
    <dgm:pt modelId="{5A91537F-EC93-44B2-B4C3-BC02156BEBDB}" type="pres">
      <dgm:prSet presAssocID="{D7A0E5A6-6422-4F97-86D9-C95ACA563C3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38E72F3-B767-4F75-8548-70933916DFF4}" type="pres">
      <dgm:prSet presAssocID="{B2480B75-21D7-4CEA-BFF8-86E458ECF495}" presName="hierRoot1" presStyleCnt="0"/>
      <dgm:spPr/>
      <dgm:t>
        <a:bodyPr/>
        <a:lstStyle/>
        <a:p>
          <a:endParaRPr lang="en-US"/>
        </a:p>
      </dgm:t>
    </dgm:pt>
    <dgm:pt modelId="{059578A4-6503-443B-96A1-CAB3C187DA06}" type="pres">
      <dgm:prSet presAssocID="{B2480B75-21D7-4CEA-BFF8-86E458ECF495}" presName="composite" presStyleCnt="0"/>
      <dgm:spPr/>
      <dgm:t>
        <a:bodyPr/>
        <a:lstStyle/>
        <a:p>
          <a:endParaRPr lang="en-US"/>
        </a:p>
      </dgm:t>
    </dgm:pt>
    <dgm:pt modelId="{284DC015-5439-4ED5-8047-ECDF1F481F98}" type="pres">
      <dgm:prSet presAssocID="{B2480B75-21D7-4CEA-BFF8-86E458ECF495}" presName="background" presStyleLbl="node0" presStyleIdx="0" presStyleCnt="1"/>
      <dgm:spPr/>
      <dgm:t>
        <a:bodyPr/>
        <a:lstStyle/>
        <a:p>
          <a:endParaRPr lang="en-US"/>
        </a:p>
      </dgm:t>
    </dgm:pt>
    <dgm:pt modelId="{E07561A2-EBA3-4070-9758-EEBEFAD0F3C7}" type="pres">
      <dgm:prSet presAssocID="{B2480B75-21D7-4CEA-BFF8-86E458ECF495}" presName="text" presStyleLbl="fgAcc0" presStyleIdx="0" presStyleCnt="1" custScaleX="1199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FCFC65-A297-4FA0-9C92-876197886825}" type="pres">
      <dgm:prSet presAssocID="{B2480B75-21D7-4CEA-BFF8-86E458ECF495}" presName="hierChild2" presStyleCnt="0"/>
      <dgm:spPr/>
      <dgm:t>
        <a:bodyPr/>
        <a:lstStyle/>
        <a:p>
          <a:endParaRPr lang="en-US"/>
        </a:p>
      </dgm:t>
    </dgm:pt>
    <dgm:pt modelId="{5387B24F-5F64-4733-B6F1-55BFBED70695}" type="pres">
      <dgm:prSet presAssocID="{B2FE2496-5F4F-451C-943D-7656AD64894C}" presName="Name10" presStyleLbl="parChTrans1D2" presStyleIdx="0" presStyleCnt="2"/>
      <dgm:spPr/>
      <dgm:t>
        <a:bodyPr/>
        <a:lstStyle/>
        <a:p>
          <a:endParaRPr lang="en-US"/>
        </a:p>
      </dgm:t>
    </dgm:pt>
    <dgm:pt modelId="{E833332E-1AFD-42BA-8EE1-A84CC9047FA6}" type="pres">
      <dgm:prSet presAssocID="{C0D2C440-E1D3-449A-85DB-C248B33D9160}" presName="hierRoot2" presStyleCnt="0"/>
      <dgm:spPr/>
      <dgm:t>
        <a:bodyPr/>
        <a:lstStyle/>
        <a:p>
          <a:endParaRPr lang="en-US"/>
        </a:p>
      </dgm:t>
    </dgm:pt>
    <dgm:pt modelId="{5EEFD8ED-075F-4754-A1F6-2CFAA2A5DFDF}" type="pres">
      <dgm:prSet presAssocID="{C0D2C440-E1D3-449A-85DB-C248B33D9160}" presName="composite2" presStyleCnt="0"/>
      <dgm:spPr/>
      <dgm:t>
        <a:bodyPr/>
        <a:lstStyle/>
        <a:p>
          <a:endParaRPr lang="en-US"/>
        </a:p>
      </dgm:t>
    </dgm:pt>
    <dgm:pt modelId="{2F48278F-C110-455A-859B-4AC523A30535}" type="pres">
      <dgm:prSet presAssocID="{C0D2C440-E1D3-449A-85DB-C248B33D9160}" presName="background2" presStyleLbl="node2" presStyleIdx="0" presStyleCnt="2"/>
      <dgm:spPr/>
      <dgm:t>
        <a:bodyPr/>
        <a:lstStyle/>
        <a:p>
          <a:endParaRPr lang="en-US"/>
        </a:p>
      </dgm:t>
    </dgm:pt>
    <dgm:pt modelId="{068929FE-08DE-4414-997E-F1FDAA5BC3E6}" type="pres">
      <dgm:prSet presAssocID="{C0D2C440-E1D3-449A-85DB-C248B33D9160}" presName="text2" presStyleLbl="fgAcc2" presStyleIdx="0" presStyleCnt="2" custScaleX="1358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3D793E-D0E9-466C-BD12-E3637CF6C848}" type="pres">
      <dgm:prSet presAssocID="{C0D2C440-E1D3-449A-85DB-C248B33D9160}" presName="hierChild3" presStyleCnt="0"/>
      <dgm:spPr/>
      <dgm:t>
        <a:bodyPr/>
        <a:lstStyle/>
        <a:p>
          <a:endParaRPr lang="en-US"/>
        </a:p>
      </dgm:t>
    </dgm:pt>
    <dgm:pt modelId="{980D9167-0528-4459-B21A-45C07A050504}" type="pres">
      <dgm:prSet presAssocID="{0DF1D81B-C1DA-4B44-9E26-61132D30EA7B}" presName="Name17" presStyleLbl="parChTrans1D3" presStyleIdx="0" presStyleCnt="4"/>
      <dgm:spPr/>
      <dgm:t>
        <a:bodyPr/>
        <a:lstStyle/>
        <a:p>
          <a:endParaRPr lang="en-US"/>
        </a:p>
      </dgm:t>
    </dgm:pt>
    <dgm:pt modelId="{9DC05095-E6CB-42FF-ABB6-39852B82B68B}" type="pres">
      <dgm:prSet presAssocID="{AD6BD636-F66A-49E2-846C-B855AF2D16FC}" presName="hierRoot3" presStyleCnt="0"/>
      <dgm:spPr/>
      <dgm:t>
        <a:bodyPr/>
        <a:lstStyle/>
        <a:p>
          <a:endParaRPr lang="en-US"/>
        </a:p>
      </dgm:t>
    </dgm:pt>
    <dgm:pt modelId="{A4ED8D30-E1AE-43CE-AAA4-AC9B08B36F97}" type="pres">
      <dgm:prSet presAssocID="{AD6BD636-F66A-49E2-846C-B855AF2D16FC}" presName="composite3" presStyleCnt="0"/>
      <dgm:spPr/>
      <dgm:t>
        <a:bodyPr/>
        <a:lstStyle/>
        <a:p>
          <a:endParaRPr lang="en-US"/>
        </a:p>
      </dgm:t>
    </dgm:pt>
    <dgm:pt modelId="{00B98D40-A021-4D30-BED0-B3B34D7F50EE}" type="pres">
      <dgm:prSet presAssocID="{AD6BD636-F66A-49E2-846C-B855AF2D16FC}" presName="background3" presStyleLbl="node3" presStyleIdx="0" presStyleCnt="4"/>
      <dgm:spPr/>
      <dgm:t>
        <a:bodyPr/>
        <a:lstStyle/>
        <a:p>
          <a:endParaRPr lang="en-US"/>
        </a:p>
      </dgm:t>
    </dgm:pt>
    <dgm:pt modelId="{85BEF2CF-8B64-4320-BE05-F52C508DEA47}" type="pres">
      <dgm:prSet presAssocID="{AD6BD636-F66A-49E2-846C-B855AF2D16F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AA3F34A-E63F-41FF-981C-3E7D2B35FDA2}" type="pres">
      <dgm:prSet presAssocID="{AD6BD636-F66A-49E2-846C-B855AF2D16FC}" presName="hierChild4" presStyleCnt="0"/>
      <dgm:spPr/>
      <dgm:t>
        <a:bodyPr/>
        <a:lstStyle/>
        <a:p>
          <a:endParaRPr lang="en-US"/>
        </a:p>
      </dgm:t>
    </dgm:pt>
    <dgm:pt modelId="{0DBE6287-D1DC-4530-8F25-E7D611C19257}" type="pres">
      <dgm:prSet presAssocID="{B27E4D4F-EE13-42A4-BF28-AB8C9D899728}" presName="Name17" presStyleLbl="parChTrans1D3" presStyleIdx="1" presStyleCnt="4"/>
      <dgm:spPr/>
      <dgm:t>
        <a:bodyPr/>
        <a:lstStyle/>
        <a:p>
          <a:endParaRPr lang="en-US"/>
        </a:p>
      </dgm:t>
    </dgm:pt>
    <dgm:pt modelId="{546E8B3B-876E-4244-B7D6-18E1A63A1E56}" type="pres">
      <dgm:prSet presAssocID="{117B192C-77BE-4157-8E5A-07407898B5E7}" presName="hierRoot3" presStyleCnt="0"/>
      <dgm:spPr/>
      <dgm:t>
        <a:bodyPr/>
        <a:lstStyle/>
        <a:p>
          <a:endParaRPr lang="en-US"/>
        </a:p>
      </dgm:t>
    </dgm:pt>
    <dgm:pt modelId="{F63CAF60-5370-4AF1-9F4A-67C3ECA83A9F}" type="pres">
      <dgm:prSet presAssocID="{117B192C-77BE-4157-8E5A-07407898B5E7}" presName="composite3" presStyleCnt="0"/>
      <dgm:spPr/>
      <dgm:t>
        <a:bodyPr/>
        <a:lstStyle/>
        <a:p>
          <a:endParaRPr lang="en-US"/>
        </a:p>
      </dgm:t>
    </dgm:pt>
    <dgm:pt modelId="{72B565E4-BD8D-45C0-86B6-00576B1D7904}" type="pres">
      <dgm:prSet presAssocID="{117B192C-77BE-4157-8E5A-07407898B5E7}" presName="background3" presStyleLbl="node3" presStyleIdx="1" presStyleCnt="4"/>
      <dgm:spPr/>
      <dgm:t>
        <a:bodyPr/>
        <a:lstStyle/>
        <a:p>
          <a:endParaRPr lang="en-US"/>
        </a:p>
      </dgm:t>
    </dgm:pt>
    <dgm:pt modelId="{F222670B-6C17-4CDD-B8E5-7F0A24715746}" type="pres">
      <dgm:prSet presAssocID="{117B192C-77BE-4157-8E5A-07407898B5E7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979F1F-7BBB-4B92-808F-01A01A26451D}" type="pres">
      <dgm:prSet presAssocID="{117B192C-77BE-4157-8E5A-07407898B5E7}" presName="hierChild4" presStyleCnt="0"/>
      <dgm:spPr/>
      <dgm:t>
        <a:bodyPr/>
        <a:lstStyle/>
        <a:p>
          <a:endParaRPr lang="en-US"/>
        </a:p>
      </dgm:t>
    </dgm:pt>
    <dgm:pt modelId="{C62F7AF6-A975-4D1C-AF06-1BBF78077A68}" type="pres">
      <dgm:prSet presAssocID="{B4ED8D71-B045-41FB-A1F4-3AFDAB51D1CA}" presName="Name10" presStyleLbl="parChTrans1D2" presStyleIdx="1" presStyleCnt="2"/>
      <dgm:spPr/>
      <dgm:t>
        <a:bodyPr/>
        <a:lstStyle/>
        <a:p>
          <a:endParaRPr lang="en-US"/>
        </a:p>
      </dgm:t>
    </dgm:pt>
    <dgm:pt modelId="{D3919B77-2246-4C1F-B47B-B89BB0EC2B2D}" type="pres">
      <dgm:prSet presAssocID="{74CA34A4-4D25-47BF-8577-44356975715D}" presName="hierRoot2" presStyleCnt="0"/>
      <dgm:spPr/>
      <dgm:t>
        <a:bodyPr/>
        <a:lstStyle/>
        <a:p>
          <a:endParaRPr lang="en-US"/>
        </a:p>
      </dgm:t>
    </dgm:pt>
    <dgm:pt modelId="{8CCBE18C-36AE-49CD-A584-4FDD3CB93A3B}" type="pres">
      <dgm:prSet presAssocID="{74CA34A4-4D25-47BF-8577-44356975715D}" presName="composite2" presStyleCnt="0"/>
      <dgm:spPr/>
      <dgm:t>
        <a:bodyPr/>
        <a:lstStyle/>
        <a:p>
          <a:endParaRPr lang="en-US"/>
        </a:p>
      </dgm:t>
    </dgm:pt>
    <dgm:pt modelId="{B16985E6-AB8C-479A-B52B-E1CE68BB2929}" type="pres">
      <dgm:prSet presAssocID="{74CA34A4-4D25-47BF-8577-44356975715D}" presName="background2" presStyleLbl="node2" presStyleIdx="1" presStyleCnt="2"/>
      <dgm:spPr/>
      <dgm:t>
        <a:bodyPr/>
        <a:lstStyle/>
        <a:p>
          <a:endParaRPr lang="en-US"/>
        </a:p>
      </dgm:t>
    </dgm:pt>
    <dgm:pt modelId="{63AAF95E-FF99-4F60-A42F-B5A4B28D052E}" type="pres">
      <dgm:prSet presAssocID="{74CA34A4-4D25-47BF-8577-44356975715D}" presName="text2" presStyleLbl="fgAcc2" presStyleIdx="1" presStyleCnt="2" custScaleX="141242" custLinFactNeighborX="-88464" custLinFactNeighborY="250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C349ED8-BB16-458E-9A85-EEBE977C1EC4}" type="pres">
      <dgm:prSet presAssocID="{74CA34A4-4D25-47BF-8577-44356975715D}" presName="hierChild3" presStyleCnt="0"/>
      <dgm:spPr/>
      <dgm:t>
        <a:bodyPr/>
        <a:lstStyle/>
        <a:p>
          <a:endParaRPr lang="en-US"/>
        </a:p>
      </dgm:t>
    </dgm:pt>
    <dgm:pt modelId="{DBD5494A-2B89-4C36-81C6-D94760530235}" type="pres">
      <dgm:prSet presAssocID="{109F6691-460C-4900-8CB6-8CABB45FA2BE}" presName="Name17" presStyleLbl="parChTrans1D3" presStyleIdx="2" presStyleCnt="4"/>
      <dgm:spPr/>
      <dgm:t>
        <a:bodyPr/>
        <a:lstStyle/>
        <a:p>
          <a:endParaRPr lang="en-US"/>
        </a:p>
      </dgm:t>
    </dgm:pt>
    <dgm:pt modelId="{24D695E2-3BEE-4AD7-B5ED-296D6EC65043}" type="pres">
      <dgm:prSet presAssocID="{61186371-8E03-4AAC-A4F5-803BC038D613}" presName="hierRoot3" presStyleCnt="0"/>
      <dgm:spPr/>
      <dgm:t>
        <a:bodyPr/>
        <a:lstStyle/>
        <a:p>
          <a:endParaRPr lang="en-US"/>
        </a:p>
      </dgm:t>
    </dgm:pt>
    <dgm:pt modelId="{3C164FBE-C291-4630-A97C-1A83BE9A1713}" type="pres">
      <dgm:prSet presAssocID="{61186371-8E03-4AAC-A4F5-803BC038D613}" presName="composite3" presStyleCnt="0"/>
      <dgm:spPr/>
      <dgm:t>
        <a:bodyPr/>
        <a:lstStyle/>
        <a:p>
          <a:endParaRPr lang="en-US"/>
        </a:p>
      </dgm:t>
    </dgm:pt>
    <dgm:pt modelId="{9ACCE9A4-5C38-437D-B67D-03DE0C0292E9}" type="pres">
      <dgm:prSet presAssocID="{61186371-8E03-4AAC-A4F5-803BC038D613}" presName="background3" presStyleLbl="node3" presStyleIdx="2" presStyleCnt="4"/>
      <dgm:spPr/>
      <dgm:t>
        <a:bodyPr/>
        <a:lstStyle/>
        <a:p>
          <a:endParaRPr lang="en-US"/>
        </a:p>
      </dgm:t>
    </dgm:pt>
    <dgm:pt modelId="{F6C86960-B1CB-4806-A493-715AAE280A6F}" type="pres">
      <dgm:prSet presAssocID="{61186371-8E03-4AAC-A4F5-803BC038D613}" presName="text3" presStyleLbl="fgAcc3" presStyleIdx="2" presStyleCnt="4" custLinFactNeighborX="4671" custLinFactNeighborY="22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10BCD7F-F549-49EB-BD1A-78696E347B1B}" type="pres">
      <dgm:prSet presAssocID="{61186371-8E03-4AAC-A4F5-803BC038D613}" presName="hierChild4" presStyleCnt="0"/>
      <dgm:spPr/>
      <dgm:t>
        <a:bodyPr/>
        <a:lstStyle/>
        <a:p>
          <a:endParaRPr lang="en-US"/>
        </a:p>
      </dgm:t>
    </dgm:pt>
    <dgm:pt modelId="{F15456A5-E485-4072-9393-3C59326B3EA9}" type="pres">
      <dgm:prSet presAssocID="{4AB2F176-699E-4A58-8603-356F0BBA340E}" presName="Name17" presStyleLbl="parChTrans1D3" presStyleIdx="3" presStyleCnt="4"/>
      <dgm:spPr/>
      <dgm:t>
        <a:bodyPr/>
        <a:lstStyle/>
        <a:p>
          <a:endParaRPr lang="en-US"/>
        </a:p>
      </dgm:t>
    </dgm:pt>
    <dgm:pt modelId="{028F7E90-5528-4106-B048-38345098DF24}" type="pres">
      <dgm:prSet presAssocID="{BBCA2723-E4E3-49CC-B85C-C37B3D9878C4}" presName="hierRoot3" presStyleCnt="0"/>
      <dgm:spPr/>
      <dgm:t>
        <a:bodyPr/>
        <a:lstStyle/>
        <a:p>
          <a:endParaRPr lang="en-US"/>
        </a:p>
      </dgm:t>
    </dgm:pt>
    <dgm:pt modelId="{B7809A76-ED64-4AC6-8A12-5A6513BB8360}" type="pres">
      <dgm:prSet presAssocID="{BBCA2723-E4E3-49CC-B85C-C37B3D9878C4}" presName="composite3" presStyleCnt="0"/>
      <dgm:spPr/>
      <dgm:t>
        <a:bodyPr/>
        <a:lstStyle/>
        <a:p>
          <a:endParaRPr lang="en-US"/>
        </a:p>
      </dgm:t>
    </dgm:pt>
    <dgm:pt modelId="{8A8776D3-5299-457A-B708-B253C9CD692D}" type="pres">
      <dgm:prSet presAssocID="{BBCA2723-E4E3-49CC-B85C-C37B3D9878C4}" presName="background3" presStyleLbl="node3" presStyleIdx="3" presStyleCnt="4"/>
      <dgm:spPr/>
      <dgm:t>
        <a:bodyPr/>
        <a:lstStyle/>
        <a:p>
          <a:endParaRPr lang="en-US"/>
        </a:p>
      </dgm:t>
    </dgm:pt>
    <dgm:pt modelId="{7F41AA01-1AE7-44EF-9727-52710969A74A}" type="pres">
      <dgm:prSet presAssocID="{BBCA2723-E4E3-49CC-B85C-C37B3D9878C4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25555E4-841E-4DBA-8F6F-E0C0513C3B5D}" type="pres">
      <dgm:prSet presAssocID="{BBCA2723-E4E3-49CC-B85C-C37B3D9878C4}" presName="hierChild4" presStyleCnt="0"/>
      <dgm:spPr/>
      <dgm:t>
        <a:bodyPr/>
        <a:lstStyle/>
        <a:p>
          <a:endParaRPr lang="en-US"/>
        </a:p>
      </dgm:t>
    </dgm:pt>
  </dgm:ptLst>
  <dgm:cxnLst>
    <dgm:cxn modelId="{2A41B987-1CC6-4DF4-BB51-30AF82E0E9AB}" type="presOf" srcId="{B27E4D4F-EE13-42A4-BF28-AB8C9D899728}" destId="{0DBE6287-D1DC-4530-8F25-E7D611C19257}" srcOrd="0" destOrd="0" presId="urn:microsoft.com/office/officeart/2005/8/layout/hierarchy1"/>
    <dgm:cxn modelId="{AA0ECDB0-192E-446E-B7E8-CDA6F61A8334}" type="presOf" srcId="{D7A0E5A6-6422-4F97-86D9-C95ACA563C35}" destId="{5A91537F-EC93-44B2-B4C3-BC02156BEBDB}" srcOrd="0" destOrd="0" presId="urn:microsoft.com/office/officeart/2005/8/layout/hierarchy1"/>
    <dgm:cxn modelId="{B8BCBD1C-89EB-4549-A8D4-3040329EE9D1}" type="presOf" srcId="{74CA34A4-4D25-47BF-8577-44356975715D}" destId="{63AAF95E-FF99-4F60-A42F-B5A4B28D052E}" srcOrd="0" destOrd="0" presId="urn:microsoft.com/office/officeart/2005/8/layout/hierarchy1"/>
    <dgm:cxn modelId="{227DBFF3-BFE0-4A66-8EC3-CF6289C6DF64}" type="presOf" srcId="{B4ED8D71-B045-41FB-A1F4-3AFDAB51D1CA}" destId="{C62F7AF6-A975-4D1C-AF06-1BBF78077A68}" srcOrd="0" destOrd="0" presId="urn:microsoft.com/office/officeart/2005/8/layout/hierarchy1"/>
    <dgm:cxn modelId="{10AD5751-A474-40B6-9F81-41ADB0A78DC0}" srcId="{74CA34A4-4D25-47BF-8577-44356975715D}" destId="{61186371-8E03-4AAC-A4F5-803BC038D613}" srcOrd="0" destOrd="0" parTransId="{109F6691-460C-4900-8CB6-8CABB45FA2BE}" sibTransId="{A1A501A8-136A-4B11-852C-E05D138755E9}"/>
    <dgm:cxn modelId="{6240D2EE-E37D-4783-8F6A-0CE0B9832CC4}" srcId="{B2480B75-21D7-4CEA-BFF8-86E458ECF495}" destId="{C0D2C440-E1D3-449A-85DB-C248B33D9160}" srcOrd="0" destOrd="0" parTransId="{B2FE2496-5F4F-451C-943D-7656AD64894C}" sibTransId="{7CDCB5C3-4C59-4989-A209-628826336FF3}"/>
    <dgm:cxn modelId="{EBA48278-410C-4F8C-A1FE-D478A3866AFD}" srcId="{C0D2C440-E1D3-449A-85DB-C248B33D9160}" destId="{AD6BD636-F66A-49E2-846C-B855AF2D16FC}" srcOrd="0" destOrd="0" parTransId="{0DF1D81B-C1DA-4B44-9E26-61132D30EA7B}" sibTransId="{E136C69B-6BC9-4A9F-BC3F-ADACFF16FCD8}"/>
    <dgm:cxn modelId="{A0309444-2DDE-4CEB-9890-C0B249E1CD3F}" type="presOf" srcId="{0DF1D81B-C1DA-4B44-9E26-61132D30EA7B}" destId="{980D9167-0528-4459-B21A-45C07A050504}" srcOrd="0" destOrd="0" presId="urn:microsoft.com/office/officeart/2005/8/layout/hierarchy1"/>
    <dgm:cxn modelId="{20B65312-BFFA-4D9C-8F7E-0881F5A4A595}" srcId="{D7A0E5A6-6422-4F97-86D9-C95ACA563C35}" destId="{B2480B75-21D7-4CEA-BFF8-86E458ECF495}" srcOrd="0" destOrd="0" parTransId="{32714AF5-BC6E-4BC4-B77E-33B9F97CBDE5}" sibTransId="{C5CBCFA5-0180-40D1-88D9-CF92FBE9CF63}"/>
    <dgm:cxn modelId="{E1788EB4-53FF-4793-9EE3-5CB210A87FEC}" srcId="{B2480B75-21D7-4CEA-BFF8-86E458ECF495}" destId="{74CA34A4-4D25-47BF-8577-44356975715D}" srcOrd="1" destOrd="0" parTransId="{B4ED8D71-B045-41FB-A1F4-3AFDAB51D1CA}" sibTransId="{87BF278E-B271-44CB-86D0-329BC01AA4A7}"/>
    <dgm:cxn modelId="{6DED0255-F999-4FC6-8501-DAE76ABFFACD}" type="presOf" srcId="{B2480B75-21D7-4CEA-BFF8-86E458ECF495}" destId="{E07561A2-EBA3-4070-9758-EEBEFAD0F3C7}" srcOrd="0" destOrd="0" presId="urn:microsoft.com/office/officeart/2005/8/layout/hierarchy1"/>
    <dgm:cxn modelId="{CCFE5F72-8D40-4CED-B6F5-4324231DE1BE}" srcId="{C0D2C440-E1D3-449A-85DB-C248B33D9160}" destId="{117B192C-77BE-4157-8E5A-07407898B5E7}" srcOrd="1" destOrd="0" parTransId="{B27E4D4F-EE13-42A4-BF28-AB8C9D899728}" sibTransId="{E14BB5F1-A052-49A5-87BB-38F86A753959}"/>
    <dgm:cxn modelId="{7EB3AE7F-3FE0-4311-B1F1-D5ECCC08E96E}" type="presOf" srcId="{117B192C-77BE-4157-8E5A-07407898B5E7}" destId="{F222670B-6C17-4CDD-B8E5-7F0A24715746}" srcOrd="0" destOrd="0" presId="urn:microsoft.com/office/officeart/2005/8/layout/hierarchy1"/>
    <dgm:cxn modelId="{63DBA49F-79D8-4D75-9468-2F539E337022}" type="presOf" srcId="{4AB2F176-699E-4A58-8603-356F0BBA340E}" destId="{F15456A5-E485-4072-9393-3C59326B3EA9}" srcOrd="0" destOrd="0" presId="urn:microsoft.com/office/officeart/2005/8/layout/hierarchy1"/>
    <dgm:cxn modelId="{1BAEC85A-E2E9-42B5-A691-D675C2B5DF40}" type="presOf" srcId="{AD6BD636-F66A-49E2-846C-B855AF2D16FC}" destId="{85BEF2CF-8B64-4320-BE05-F52C508DEA47}" srcOrd="0" destOrd="0" presId="urn:microsoft.com/office/officeart/2005/8/layout/hierarchy1"/>
    <dgm:cxn modelId="{6967FA5D-A5F1-437B-B24A-279186D7F4C4}" type="presOf" srcId="{BBCA2723-E4E3-49CC-B85C-C37B3D9878C4}" destId="{7F41AA01-1AE7-44EF-9727-52710969A74A}" srcOrd="0" destOrd="0" presId="urn:microsoft.com/office/officeart/2005/8/layout/hierarchy1"/>
    <dgm:cxn modelId="{C9E3DBF5-22F9-418E-BE0A-91AD4345374C}" type="presOf" srcId="{109F6691-460C-4900-8CB6-8CABB45FA2BE}" destId="{DBD5494A-2B89-4C36-81C6-D94760530235}" srcOrd="0" destOrd="0" presId="urn:microsoft.com/office/officeart/2005/8/layout/hierarchy1"/>
    <dgm:cxn modelId="{1BF74601-5F6E-4E6F-A75D-33F44C796D7D}" type="presOf" srcId="{61186371-8E03-4AAC-A4F5-803BC038D613}" destId="{F6C86960-B1CB-4806-A493-715AAE280A6F}" srcOrd="0" destOrd="0" presId="urn:microsoft.com/office/officeart/2005/8/layout/hierarchy1"/>
    <dgm:cxn modelId="{EE4C89EB-C005-4AEB-8972-683EEE5D4776}" srcId="{74CA34A4-4D25-47BF-8577-44356975715D}" destId="{BBCA2723-E4E3-49CC-B85C-C37B3D9878C4}" srcOrd="1" destOrd="0" parTransId="{4AB2F176-699E-4A58-8603-356F0BBA340E}" sibTransId="{4B688B7A-32D6-40D9-AC3C-D1D3830C4F80}"/>
    <dgm:cxn modelId="{56A1914D-DC7B-43B3-88B6-20C005916036}" type="presOf" srcId="{B2FE2496-5F4F-451C-943D-7656AD64894C}" destId="{5387B24F-5F64-4733-B6F1-55BFBED70695}" srcOrd="0" destOrd="0" presId="urn:microsoft.com/office/officeart/2005/8/layout/hierarchy1"/>
    <dgm:cxn modelId="{27945F17-E8EA-4CEB-8446-A9FC3E28E723}" type="presOf" srcId="{C0D2C440-E1D3-449A-85DB-C248B33D9160}" destId="{068929FE-08DE-4414-997E-F1FDAA5BC3E6}" srcOrd="0" destOrd="0" presId="urn:microsoft.com/office/officeart/2005/8/layout/hierarchy1"/>
    <dgm:cxn modelId="{B4382C1C-49D2-4AA4-8B09-005405192FBC}" type="presParOf" srcId="{5A91537F-EC93-44B2-B4C3-BC02156BEBDB}" destId="{438E72F3-B767-4F75-8548-70933916DFF4}" srcOrd="0" destOrd="0" presId="urn:microsoft.com/office/officeart/2005/8/layout/hierarchy1"/>
    <dgm:cxn modelId="{EAE34C5C-6CD8-4DAC-B6C7-167E68434706}" type="presParOf" srcId="{438E72F3-B767-4F75-8548-70933916DFF4}" destId="{059578A4-6503-443B-96A1-CAB3C187DA06}" srcOrd="0" destOrd="0" presId="urn:microsoft.com/office/officeart/2005/8/layout/hierarchy1"/>
    <dgm:cxn modelId="{61E51FA8-71BC-4C8A-A852-80186733F082}" type="presParOf" srcId="{059578A4-6503-443B-96A1-CAB3C187DA06}" destId="{284DC015-5439-4ED5-8047-ECDF1F481F98}" srcOrd="0" destOrd="0" presId="urn:microsoft.com/office/officeart/2005/8/layout/hierarchy1"/>
    <dgm:cxn modelId="{1A7F825A-6115-40D9-97D9-0B0DF8A33BA8}" type="presParOf" srcId="{059578A4-6503-443B-96A1-CAB3C187DA06}" destId="{E07561A2-EBA3-4070-9758-EEBEFAD0F3C7}" srcOrd="1" destOrd="0" presId="urn:microsoft.com/office/officeart/2005/8/layout/hierarchy1"/>
    <dgm:cxn modelId="{8940A1C1-0E38-49E4-8878-7EBF9871E5EE}" type="presParOf" srcId="{438E72F3-B767-4F75-8548-70933916DFF4}" destId="{A2FCFC65-A297-4FA0-9C92-876197886825}" srcOrd="1" destOrd="0" presId="urn:microsoft.com/office/officeart/2005/8/layout/hierarchy1"/>
    <dgm:cxn modelId="{152DBACF-B936-4172-9CC1-EBFB6777C6C1}" type="presParOf" srcId="{A2FCFC65-A297-4FA0-9C92-876197886825}" destId="{5387B24F-5F64-4733-B6F1-55BFBED70695}" srcOrd="0" destOrd="0" presId="urn:microsoft.com/office/officeart/2005/8/layout/hierarchy1"/>
    <dgm:cxn modelId="{60910595-FD41-4E9B-B35B-2E55D10982CC}" type="presParOf" srcId="{A2FCFC65-A297-4FA0-9C92-876197886825}" destId="{E833332E-1AFD-42BA-8EE1-A84CC9047FA6}" srcOrd="1" destOrd="0" presId="urn:microsoft.com/office/officeart/2005/8/layout/hierarchy1"/>
    <dgm:cxn modelId="{C7841441-02B9-42F7-8934-F980734340B5}" type="presParOf" srcId="{E833332E-1AFD-42BA-8EE1-A84CC9047FA6}" destId="{5EEFD8ED-075F-4754-A1F6-2CFAA2A5DFDF}" srcOrd="0" destOrd="0" presId="urn:microsoft.com/office/officeart/2005/8/layout/hierarchy1"/>
    <dgm:cxn modelId="{B05EB59E-C213-4798-8201-CDC6F7459336}" type="presParOf" srcId="{5EEFD8ED-075F-4754-A1F6-2CFAA2A5DFDF}" destId="{2F48278F-C110-455A-859B-4AC523A30535}" srcOrd="0" destOrd="0" presId="urn:microsoft.com/office/officeart/2005/8/layout/hierarchy1"/>
    <dgm:cxn modelId="{A8197079-01DB-4BA6-8AB1-C2F15F7D0D0B}" type="presParOf" srcId="{5EEFD8ED-075F-4754-A1F6-2CFAA2A5DFDF}" destId="{068929FE-08DE-4414-997E-F1FDAA5BC3E6}" srcOrd="1" destOrd="0" presId="urn:microsoft.com/office/officeart/2005/8/layout/hierarchy1"/>
    <dgm:cxn modelId="{F6F9358E-AD17-4AC4-A9C6-781972051789}" type="presParOf" srcId="{E833332E-1AFD-42BA-8EE1-A84CC9047FA6}" destId="{F73D793E-D0E9-466C-BD12-E3637CF6C848}" srcOrd="1" destOrd="0" presId="urn:microsoft.com/office/officeart/2005/8/layout/hierarchy1"/>
    <dgm:cxn modelId="{39F8C935-E6BF-4201-BFD4-6C99EC5ED447}" type="presParOf" srcId="{F73D793E-D0E9-466C-BD12-E3637CF6C848}" destId="{980D9167-0528-4459-B21A-45C07A050504}" srcOrd="0" destOrd="0" presId="urn:microsoft.com/office/officeart/2005/8/layout/hierarchy1"/>
    <dgm:cxn modelId="{5782D9F2-F6C8-4E15-8561-07B193396A5A}" type="presParOf" srcId="{F73D793E-D0E9-466C-BD12-E3637CF6C848}" destId="{9DC05095-E6CB-42FF-ABB6-39852B82B68B}" srcOrd="1" destOrd="0" presId="urn:microsoft.com/office/officeart/2005/8/layout/hierarchy1"/>
    <dgm:cxn modelId="{F054D605-3EC8-4DCE-AD8E-2FBE14DCBFD7}" type="presParOf" srcId="{9DC05095-E6CB-42FF-ABB6-39852B82B68B}" destId="{A4ED8D30-E1AE-43CE-AAA4-AC9B08B36F97}" srcOrd="0" destOrd="0" presId="urn:microsoft.com/office/officeart/2005/8/layout/hierarchy1"/>
    <dgm:cxn modelId="{69BBE3B3-DE9D-44A3-B7D7-0336CF69E158}" type="presParOf" srcId="{A4ED8D30-E1AE-43CE-AAA4-AC9B08B36F97}" destId="{00B98D40-A021-4D30-BED0-B3B34D7F50EE}" srcOrd="0" destOrd="0" presId="urn:microsoft.com/office/officeart/2005/8/layout/hierarchy1"/>
    <dgm:cxn modelId="{3C3AB50A-4DB8-4E74-A25A-DC8327F1AB74}" type="presParOf" srcId="{A4ED8D30-E1AE-43CE-AAA4-AC9B08B36F97}" destId="{85BEF2CF-8B64-4320-BE05-F52C508DEA47}" srcOrd="1" destOrd="0" presId="urn:microsoft.com/office/officeart/2005/8/layout/hierarchy1"/>
    <dgm:cxn modelId="{61EBFC51-DAA7-4AF7-95EF-552F00CC143C}" type="presParOf" srcId="{9DC05095-E6CB-42FF-ABB6-39852B82B68B}" destId="{0AA3F34A-E63F-41FF-981C-3E7D2B35FDA2}" srcOrd="1" destOrd="0" presId="urn:microsoft.com/office/officeart/2005/8/layout/hierarchy1"/>
    <dgm:cxn modelId="{8B189C6C-27B5-4EBB-B6BB-620CEFF1B71F}" type="presParOf" srcId="{F73D793E-D0E9-466C-BD12-E3637CF6C848}" destId="{0DBE6287-D1DC-4530-8F25-E7D611C19257}" srcOrd="2" destOrd="0" presId="urn:microsoft.com/office/officeart/2005/8/layout/hierarchy1"/>
    <dgm:cxn modelId="{81C0A239-1B72-42BA-B471-66C686293699}" type="presParOf" srcId="{F73D793E-D0E9-466C-BD12-E3637CF6C848}" destId="{546E8B3B-876E-4244-B7D6-18E1A63A1E56}" srcOrd="3" destOrd="0" presId="urn:microsoft.com/office/officeart/2005/8/layout/hierarchy1"/>
    <dgm:cxn modelId="{AF09ED52-B531-4514-8389-89D04BD5A248}" type="presParOf" srcId="{546E8B3B-876E-4244-B7D6-18E1A63A1E56}" destId="{F63CAF60-5370-4AF1-9F4A-67C3ECA83A9F}" srcOrd="0" destOrd="0" presId="urn:microsoft.com/office/officeart/2005/8/layout/hierarchy1"/>
    <dgm:cxn modelId="{BB02CA3E-0E66-4E0A-A993-3A9734183B22}" type="presParOf" srcId="{F63CAF60-5370-4AF1-9F4A-67C3ECA83A9F}" destId="{72B565E4-BD8D-45C0-86B6-00576B1D7904}" srcOrd="0" destOrd="0" presId="urn:microsoft.com/office/officeart/2005/8/layout/hierarchy1"/>
    <dgm:cxn modelId="{B382814E-90D2-4852-A0D1-5CDEC7F8C753}" type="presParOf" srcId="{F63CAF60-5370-4AF1-9F4A-67C3ECA83A9F}" destId="{F222670B-6C17-4CDD-B8E5-7F0A24715746}" srcOrd="1" destOrd="0" presId="urn:microsoft.com/office/officeart/2005/8/layout/hierarchy1"/>
    <dgm:cxn modelId="{C8C52D3E-4B13-4B63-B28F-3201AE5E968F}" type="presParOf" srcId="{546E8B3B-876E-4244-B7D6-18E1A63A1E56}" destId="{1D979F1F-7BBB-4B92-808F-01A01A26451D}" srcOrd="1" destOrd="0" presId="urn:microsoft.com/office/officeart/2005/8/layout/hierarchy1"/>
    <dgm:cxn modelId="{3D3E5598-5465-4BF4-9380-EB19105BEDFA}" type="presParOf" srcId="{A2FCFC65-A297-4FA0-9C92-876197886825}" destId="{C62F7AF6-A975-4D1C-AF06-1BBF78077A68}" srcOrd="2" destOrd="0" presId="urn:microsoft.com/office/officeart/2005/8/layout/hierarchy1"/>
    <dgm:cxn modelId="{AFE238A2-CE1F-44B7-A8D4-35E17C649B6B}" type="presParOf" srcId="{A2FCFC65-A297-4FA0-9C92-876197886825}" destId="{D3919B77-2246-4C1F-B47B-B89BB0EC2B2D}" srcOrd="3" destOrd="0" presId="urn:microsoft.com/office/officeart/2005/8/layout/hierarchy1"/>
    <dgm:cxn modelId="{71570AB2-E665-4114-A603-4382A5FB05E9}" type="presParOf" srcId="{D3919B77-2246-4C1F-B47B-B89BB0EC2B2D}" destId="{8CCBE18C-36AE-49CD-A584-4FDD3CB93A3B}" srcOrd="0" destOrd="0" presId="urn:microsoft.com/office/officeart/2005/8/layout/hierarchy1"/>
    <dgm:cxn modelId="{91CADCD5-F8FD-41EE-A9DA-5B805F7B706F}" type="presParOf" srcId="{8CCBE18C-36AE-49CD-A584-4FDD3CB93A3B}" destId="{B16985E6-AB8C-479A-B52B-E1CE68BB2929}" srcOrd="0" destOrd="0" presId="urn:microsoft.com/office/officeart/2005/8/layout/hierarchy1"/>
    <dgm:cxn modelId="{D772535F-FB85-4219-9B2F-1FDA84869B13}" type="presParOf" srcId="{8CCBE18C-36AE-49CD-A584-4FDD3CB93A3B}" destId="{63AAF95E-FF99-4F60-A42F-B5A4B28D052E}" srcOrd="1" destOrd="0" presId="urn:microsoft.com/office/officeart/2005/8/layout/hierarchy1"/>
    <dgm:cxn modelId="{AC6C481F-7168-45BF-93DF-4255754DBB2D}" type="presParOf" srcId="{D3919B77-2246-4C1F-B47B-B89BB0EC2B2D}" destId="{EC349ED8-BB16-458E-9A85-EEBE977C1EC4}" srcOrd="1" destOrd="0" presId="urn:microsoft.com/office/officeart/2005/8/layout/hierarchy1"/>
    <dgm:cxn modelId="{083E991B-7939-4474-BB33-95A6BC28C6EB}" type="presParOf" srcId="{EC349ED8-BB16-458E-9A85-EEBE977C1EC4}" destId="{DBD5494A-2B89-4C36-81C6-D94760530235}" srcOrd="0" destOrd="0" presId="urn:microsoft.com/office/officeart/2005/8/layout/hierarchy1"/>
    <dgm:cxn modelId="{2E62E868-D338-489F-8865-8FB5DE0514DD}" type="presParOf" srcId="{EC349ED8-BB16-458E-9A85-EEBE977C1EC4}" destId="{24D695E2-3BEE-4AD7-B5ED-296D6EC65043}" srcOrd="1" destOrd="0" presId="urn:microsoft.com/office/officeart/2005/8/layout/hierarchy1"/>
    <dgm:cxn modelId="{D8E9957F-97E4-49CA-B701-97FCE79B8865}" type="presParOf" srcId="{24D695E2-3BEE-4AD7-B5ED-296D6EC65043}" destId="{3C164FBE-C291-4630-A97C-1A83BE9A1713}" srcOrd="0" destOrd="0" presId="urn:microsoft.com/office/officeart/2005/8/layout/hierarchy1"/>
    <dgm:cxn modelId="{752D07A5-B32B-4164-9018-A08379B535D7}" type="presParOf" srcId="{3C164FBE-C291-4630-A97C-1A83BE9A1713}" destId="{9ACCE9A4-5C38-437D-B67D-03DE0C0292E9}" srcOrd="0" destOrd="0" presId="urn:microsoft.com/office/officeart/2005/8/layout/hierarchy1"/>
    <dgm:cxn modelId="{57A7DBE1-B940-4AE5-AB00-0F3BE5F7D150}" type="presParOf" srcId="{3C164FBE-C291-4630-A97C-1A83BE9A1713}" destId="{F6C86960-B1CB-4806-A493-715AAE280A6F}" srcOrd="1" destOrd="0" presId="urn:microsoft.com/office/officeart/2005/8/layout/hierarchy1"/>
    <dgm:cxn modelId="{B99A09D9-A372-4492-8704-24473EFDFDA3}" type="presParOf" srcId="{24D695E2-3BEE-4AD7-B5ED-296D6EC65043}" destId="{010BCD7F-F549-49EB-BD1A-78696E347B1B}" srcOrd="1" destOrd="0" presId="urn:microsoft.com/office/officeart/2005/8/layout/hierarchy1"/>
    <dgm:cxn modelId="{270DE960-77BE-4A1A-B25D-D78961C64329}" type="presParOf" srcId="{EC349ED8-BB16-458E-9A85-EEBE977C1EC4}" destId="{F15456A5-E485-4072-9393-3C59326B3EA9}" srcOrd="2" destOrd="0" presId="urn:microsoft.com/office/officeart/2005/8/layout/hierarchy1"/>
    <dgm:cxn modelId="{BBA724CD-14E3-4632-8A8F-1EA23D4DB94E}" type="presParOf" srcId="{EC349ED8-BB16-458E-9A85-EEBE977C1EC4}" destId="{028F7E90-5528-4106-B048-38345098DF24}" srcOrd="3" destOrd="0" presId="urn:microsoft.com/office/officeart/2005/8/layout/hierarchy1"/>
    <dgm:cxn modelId="{5A7A91E5-1CCE-49C3-ABB7-955BE22B5851}" type="presParOf" srcId="{028F7E90-5528-4106-B048-38345098DF24}" destId="{B7809A76-ED64-4AC6-8A12-5A6513BB8360}" srcOrd="0" destOrd="0" presId="urn:microsoft.com/office/officeart/2005/8/layout/hierarchy1"/>
    <dgm:cxn modelId="{EE5EF771-8BBF-4F95-A4DC-5B9F89E0C935}" type="presParOf" srcId="{B7809A76-ED64-4AC6-8A12-5A6513BB8360}" destId="{8A8776D3-5299-457A-B708-B253C9CD692D}" srcOrd="0" destOrd="0" presId="urn:microsoft.com/office/officeart/2005/8/layout/hierarchy1"/>
    <dgm:cxn modelId="{5BDE85F1-8A44-4F27-A46B-A4F1A9A4C92B}" type="presParOf" srcId="{B7809A76-ED64-4AC6-8A12-5A6513BB8360}" destId="{7F41AA01-1AE7-44EF-9727-52710969A74A}" srcOrd="1" destOrd="0" presId="urn:microsoft.com/office/officeart/2005/8/layout/hierarchy1"/>
    <dgm:cxn modelId="{05855395-DA36-4757-95B3-17AB0E9F4E94}" type="presParOf" srcId="{028F7E90-5528-4106-B048-38345098DF24}" destId="{325555E4-841E-4DBA-8F6F-E0C0513C3B5D}" srcOrd="1" destOrd="0" presId="urn:microsoft.com/office/officeart/2005/8/layout/hierarchy1"/>
  </dgm:cxnLst>
  <dgm:bg>
    <a:solidFill>
      <a:srgbClr val="DB1372"/>
    </a:solidFill>
    <a:effectLst>
      <a:innerShdw blurRad="63500" dist="50800" dir="18900000">
        <a:schemeClr val="accent6">
          <a:alpha val="50000"/>
        </a:schemeClr>
      </a:innerShdw>
    </a:effectLst>
  </dgm:bg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158.xml><?xml version="1.0" encoding="utf-8"?>
<dgm:dataModel xmlns:dgm="http://schemas.openxmlformats.org/drawingml/2006/diagram" xmlns:a="http://schemas.openxmlformats.org/drawingml/2006/main">
  <dgm:ptLst>
    <dgm:pt modelId="{6466BD74-F5DE-4D65-B160-4D0F85069540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8D3ABA9-FFEE-41F2-BF57-1020CCA6D2B2}">
      <dgm:prSet phldrT="[Text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sr-Cyrl-CS" sz="1100"/>
            <a:t>ВОДОСНАБДЕВАЊЕ</a:t>
          </a:r>
        </a:p>
        <a:p>
          <a:r>
            <a:rPr lang="sr-Cyrl-CS" sz="1100"/>
            <a:t>30,000.000,00</a:t>
          </a:r>
          <a:endParaRPr lang="en-US" sz="1100"/>
        </a:p>
      </dgm:t>
    </dgm:pt>
    <dgm:pt modelId="{F777D95F-032E-4FA1-8BCB-E26772750A90}" type="parTrans" cxnId="{B662C15B-104F-43D8-B5CB-B612C4D8D126}">
      <dgm:prSet/>
      <dgm:spPr/>
      <dgm:t>
        <a:bodyPr/>
        <a:lstStyle/>
        <a:p>
          <a:endParaRPr lang="en-US"/>
        </a:p>
      </dgm:t>
    </dgm:pt>
    <dgm:pt modelId="{94F6DB45-F49B-4D4E-A2C7-5DE8466EFC8E}" type="sibTrans" cxnId="{B662C15B-104F-43D8-B5CB-B612C4D8D126}">
      <dgm:prSet/>
      <dgm:spPr/>
      <dgm:t>
        <a:bodyPr/>
        <a:lstStyle/>
        <a:p>
          <a:endParaRPr lang="en-US"/>
        </a:p>
      </dgm:t>
    </dgm:pt>
    <dgm:pt modelId="{0FC2E7AF-C7E1-4C71-A455-684E77FD9E03}">
      <dgm:prSet phldrT="[Text]" custT="1"/>
      <dgm:spPr/>
      <dgm:t>
        <a:bodyPr/>
        <a:lstStyle/>
        <a:p>
          <a:r>
            <a:rPr lang="sr-Cyrl-CS" sz="1100"/>
            <a:t>Субвенције ЈП Водовод                           21,000.000</a:t>
          </a:r>
          <a:endParaRPr lang="en-US" sz="1100"/>
        </a:p>
      </dgm:t>
    </dgm:pt>
    <dgm:pt modelId="{877F413C-2E42-4BCD-A38F-B574F0691F4C}" type="parTrans" cxnId="{9A49E328-DE8C-4677-93F7-BEEDC8887E63}">
      <dgm:prSet/>
      <dgm:spPr/>
      <dgm:t>
        <a:bodyPr/>
        <a:lstStyle/>
        <a:p>
          <a:endParaRPr lang="en-US"/>
        </a:p>
      </dgm:t>
    </dgm:pt>
    <dgm:pt modelId="{9038A03D-C27D-42EE-8F28-761A3B12AA65}" type="sibTrans" cxnId="{9A49E328-DE8C-4677-93F7-BEEDC8887E63}">
      <dgm:prSet/>
      <dgm:spPr/>
      <dgm:t>
        <a:bodyPr/>
        <a:lstStyle/>
        <a:p>
          <a:endParaRPr lang="en-US"/>
        </a:p>
      </dgm:t>
    </dgm:pt>
    <dgm:pt modelId="{74FA7685-3DD1-4BD3-AEB2-ACAB17AC83CB}">
      <dgm:prSet phldrT="[Text]" custT="1"/>
      <dgm:spPr/>
      <dgm:t>
        <a:bodyPr/>
        <a:lstStyle/>
        <a:p>
          <a:r>
            <a:rPr lang="sr-Cyrl-CS" sz="1100"/>
            <a:t>Одржавање водоводне мреже               5,000.000</a:t>
          </a:r>
          <a:endParaRPr lang="en-US" sz="1100"/>
        </a:p>
      </dgm:t>
    </dgm:pt>
    <dgm:pt modelId="{C516754D-3E60-461C-8E7D-2F306B353DAB}" type="parTrans" cxnId="{DB0868FA-3F2B-458A-9820-16D268247C20}">
      <dgm:prSet/>
      <dgm:spPr/>
      <dgm:t>
        <a:bodyPr/>
        <a:lstStyle/>
        <a:p>
          <a:endParaRPr lang="en-US"/>
        </a:p>
      </dgm:t>
    </dgm:pt>
    <dgm:pt modelId="{C083710A-B4B8-464D-A05A-DBF886213573}" type="sibTrans" cxnId="{DB0868FA-3F2B-458A-9820-16D268247C20}">
      <dgm:prSet/>
      <dgm:spPr/>
      <dgm:t>
        <a:bodyPr/>
        <a:lstStyle/>
        <a:p>
          <a:endParaRPr lang="en-US"/>
        </a:p>
      </dgm:t>
    </dgm:pt>
    <dgm:pt modelId="{0A6CA71E-023B-4F86-98FF-9BC0F7B32A95}">
      <dgm:prSet phldrT="[Text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sr-Cyrl-CS" sz="1100"/>
            <a:t>ОПШТИНСКА УПРАВА  ЈАВНА РАСВЕТА</a:t>
          </a:r>
        </a:p>
        <a:p>
          <a:r>
            <a:rPr lang="sr-Cyrl-CS" sz="1100"/>
            <a:t>29,200.000,00</a:t>
          </a:r>
          <a:endParaRPr lang="en-US" sz="1100"/>
        </a:p>
      </dgm:t>
    </dgm:pt>
    <dgm:pt modelId="{AB2ED6C2-A22E-4365-8AA9-DD8934DAE788}" type="parTrans" cxnId="{2BBDBDB1-D1E2-44DF-BA97-CE38E3A10EEC}">
      <dgm:prSet/>
      <dgm:spPr/>
      <dgm:t>
        <a:bodyPr/>
        <a:lstStyle/>
        <a:p>
          <a:endParaRPr lang="en-US"/>
        </a:p>
      </dgm:t>
    </dgm:pt>
    <dgm:pt modelId="{102E72F8-7F49-46B7-BEBF-27973321A49E}" type="sibTrans" cxnId="{2BBDBDB1-D1E2-44DF-BA97-CE38E3A10EEC}">
      <dgm:prSet/>
      <dgm:spPr/>
      <dgm:t>
        <a:bodyPr/>
        <a:lstStyle/>
        <a:p>
          <a:endParaRPr lang="en-US"/>
        </a:p>
      </dgm:t>
    </dgm:pt>
    <dgm:pt modelId="{B53A0101-9354-4B76-AC7F-EEBBB9F72B81}">
      <dgm:prSet phldrT="[Text]" custT="1"/>
      <dgm:spPr/>
      <dgm:t>
        <a:bodyPr/>
        <a:lstStyle/>
        <a:p>
          <a:r>
            <a:rPr lang="sr-Cyrl-CS" sz="1100"/>
            <a:t>одржавање постојећег система         13,200,000</a:t>
          </a:r>
          <a:endParaRPr lang="en-US" sz="1100"/>
        </a:p>
      </dgm:t>
    </dgm:pt>
    <dgm:pt modelId="{6E4C2E47-465E-466A-9062-8667E3E43DFD}" type="parTrans" cxnId="{575928AB-8751-4AF6-9E60-EE3F00D5C9F1}">
      <dgm:prSet/>
      <dgm:spPr/>
      <dgm:t>
        <a:bodyPr/>
        <a:lstStyle/>
        <a:p>
          <a:endParaRPr lang="en-US"/>
        </a:p>
      </dgm:t>
    </dgm:pt>
    <dgm:pt modelId="{06612D1C-82C0-4EB8-84B4-120F384D422B}" type="sibTrans" cxnId="{575928AB-8751-4AF6-9E60-EE3F00D5C9F1}">
      <dgm:prSet/>
      <dgm:spPr/>
      <dgm:t>
        <a:bodyPr/>
        <a:lstStyle/>
        <a:p>
          <a:endParaRPr lang="en-US"/>
        </a:p>
      </dgm:t>
    </dgm:pt>
    <dgm:pt modelId="{6045C533-A070-4D65-A5F9-8846DFA367B7}">
      <dgm:prSet phldrT="[Text]" custT="1"/>
      <dgm:spPr/>
      <dgm:t>
        <a:bodyPr/>
        <a:lstStyle/>
        <a:p>
          <a:endParaRPr lang="en-US" sz="1050"/>
        </a:p>
      </dgm:t>
    </dgm:pt>
    <dgm:pt modelId="{14B9BCDF-4B61-45B4-9C1B-185A37CB2FD7}" type="parTrans" cxnId="{E7E998DD-A18B-4FE2-8ED2-911BCC0C0D31}">
      <dgm:prSet/>
      <dgm:spPr/>
      <dgm:t>
        <a:bodyPr/>
        <a:lstStyle/>
        <a:p>
          <a:endParaRPr lang="en-US"/>
        </a:p>
      </dgm:t>
    </dgm:pt>
    <dgm:pt modelId="{47D9E9A6-F253-4DAA-98E2-7E81A8B9BBD6}" type="sibTrans" cxnId="{E7E998DD-A18B-4FE2-8ED2-911BCC0C0D31}">
      <dgm:prSet/>
      <dgm:spPr/>
      <dgm:t>
        <a:bodyPr/>
        <a:lstStyle/>
        <a:p>
          <a:endParaRPr lang="en-US"/>
        </a:p>
      </dgm:t>
    </dgm:pt>
    <dgm:pt modelId="{52C1C1D7-1BFC-4A57-B740-998CBD5FB687}">
      <dgm:prSet phldrT="[Text]" custT="1"/>
      <dgm:spPr/>
      <dgm:t>
        <a:bodyPr/>
        <a:lstStyle/>
        <a:p>
          <a:endParaRPr lang="en-US" sz="900"/>
        </a:p>
      </dgm:t>
    </dgm:pt>
    <dgm:pt modelId="{8E6A1B1E-096A-4ABE-B4A7-E25F2ADC9DC8}" type="parTrans" cxnId="{8A6332D7-A620-4630-8355-4E7C3C15FE6F}">
      <dgm:prSet/>
      <dgm:spPr/>
      <dgm:t>
        <a:bodyPr/>
        <a:lstStyle/>
        <a:p>
          <a:endParaRPr lang="en-US"/>
        </a:p>
      </dgm:t>
    </dgm:pt>
    <dgm:pt modelId="{1BBDE0CC-7E88-4296-A2CF-FE563138475C}" type="sibTrans" cxnId="{8A6332D7-A620-4630-8355-4E7C3C15FE6F}">
      <dgm:prSet/>
      <dgm:spPr/>
      <dgm:t>
        <a:bodyPr/>
        <a:lstStyle/>
        <a:p>
          <a:endParaRPr lang="en-US"/>
        </a:p>
      </dgm:t>
    </dgm:pt>
    <dgm:pt modelId="{EA88F797-F169-4400-993E-F7C0FEA2CDCA}">
      <dgm:prSet phldrT="[Text]" custT="1"/>
      <dgm:spPr/>
      <dgm:t>
        <a:bodyPr/>
        <a:lstStyle/>
        <a:p>
          <a:r>
            <a:rPr lang="sr-Cyrl-RS" sz="1100"/>
            <a:t>Трошкови струје за јавну расвету      16,000.000</a:t>
          </a:r>
          <a:endParaRPr lang="en-US" sz="1100"/>
        </a:p>
      </dgm:t>
    </dgm:pt>
    <dgm:pt modelId="{109E90D1-A70D-40F6-9476-9E597B20173F}" type="parTrans" cxnId="{9E6EF4E4-D65D-4BA7-8C73-F19A3BFDB1D3}">
      <dgm:prSet/>
      <dgm:spPr/>
      <dgm:t>
        <a:bodyPr/>
        <a:lstStyle/>
        <a:p>
          <a:endParaRPr lang="en-US"/>
        </a:p>
      </dgm:t>
    </dgm:pt>
    <dgm:pt modelId="{842CD2CA-0239-48A3-980B-6EE4344DBF70}" type="sibTrans" cxnId="{9E6EF4E4-D65D-4BA7-8C73-F19A3BFDB1D3}">
      <dgm:prSet/>
      <dgm:spPr/>
      <dgm:t>
        <a:bodyPr/>
        <a:lstStyle/>
        <a:p>
          <a:endParaRPr lang="en-US"/>
        </a:p>
      </dgm:t>
    </dgm:pt>
    <dgm:pt modelId="{83CB544D-0D27-43CB-A2DC-71A580B88005}">
      <dgm:prSet phldrT="[Text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sr-Cyrl-CS" sz="1100"/>
            <a:t>ОПШТИНСКА УПРАВА  ЛОКАЛНИ ЕКОНОМ. РАЗВОЈ</a:t>
          </a:r>
        </a:p>
        <a:p>
          <a:r>
            <a:rPr lang="sr-Cyrl-CS" sz="1100"/>
            <a:t>5,500.000,00</a:t>
          </a:r>
          <a:endParaRPr lang="en-US" sz="1100"/>
        </a:p>
      </dgm:t>
    </dgm:pt>
    <dgm:pt modelId="{2AC505CF-A45B-46B3-B1D1-45AC42636BEE}" type="sibTrans" cxnId="{AB82FDF6-DF1B-4C19-AD3B-08CB191FC538}">
      <dgm:prSet/>
      <dgm:spPr/>
      <dgm:t>
        <a:bodyPr/>
        <a:lstStyle/>
        <a:p>
          <a:endParaRPr lang="en-US"/>
        </a:p>
      </dgm:t>
    </dgm:pt>
    <dgm:pt modelId="{4AEE662C-F288-46C2-8D9C-692352822CCD}" type="parTrans" cxnId="{AB82FDF6-DF1B-4C19-AD3B-08CB191FC538}">
      <dgm:prSet/>
      <dgm:spPr/>
      <dgm:t>
        <a:bodyPr/>
        <a:lstStyle/>
        <a:p>
          <a:endParaRPr lang="en-US"/>
        </a:p>
      </dgm:t>
    </dgm:pt>
    <dgm:pt modelId="{282B68D1-CBA6-4C26-AAA3-26A485B60904}">
      <dgm:prSet phldrT="[Text]" custT="1"/>
      <dgm:spPr/>
      <dgm:t>
        <a:bodyPr/>
        <a:lstStyle/>
        <a:p>
          <a:r>
            <a:rPr lang="sr-Cyrl-RS" sz="1050">
              <a:solidFill>
                <a:sysClr val="windowText" lastClr="000000"/>
              </a:solidFill>
            </a:rPr>
            <a:t> Чланарине у развојне агенције и  СКГО  1,000.000</a:t>
          </a:r>
          <a:endParaRPr lang="en-US" sz="1050">
            <a:solidFill>
              <a:sysClr val="windowText" lastClr="000000"/>
            </a:solidFill>
          </a:endParaRPr>
        </a:p>
      </dgm:t>
    </dgm:pt>
    <dgm:pt modelId="{9CCEFC0F-048A-4E86-9C17-96A514BA0056}" type="parTrans" cxnId="{676C6091-BEF0-44C7-8944-E7F5B39386AE}">
      <dgm:prSet/>
      <dgm:spPr/>
      <dgm:t>
        <a:bodyPr/>
        <a:lstStyle/>
        <a:p>
          <a:endParaRPr lang="en-US"/>
        </a:p>
      </dgm:t>
    </dgm:pt>
    <dgm:pt modelId="{C307C145-4174-43E0-9B18-BFAFC8D8CA49}" type="sibTrans" cxnId="{676C6091-BEF0-44C7-8944-E7F5B39386AE}">
      <dgm:prSet/>
      <dgm:spPr/>
      <dgm:t>
        <a:bodyPr/>
        <a:lstStyle/>
        <a:p>
          <a:endParaRPr lang="en-US"/>
        </a:p>
      </dgm:t>
    </dgm:pt>
    <dgm:pt modelId="{3B9F9EE8-2D45-4444-997B-007620FC5762}">
      <dgm:prSet phldrT="[Text]" custT="1"/>
      <dgm:spPr/>
      <dgm:t>
        <a:bodyPr/>
        <a:lstStyle/>
        <a:p>
          <a:r>
            <a:rPr lang="sr-Cyrl-RS" sz="1100"/>
            <a:t>Директне инвестиције у вод. мрежу    4,000.000</a:t>
          </a:r>
          <a:endParaRPr lang="en-US" sz="1100"/>
        </a:p>
      </dgm:t>
    </dgm:pt>
    <dgm:pt modelId="{37DAED89-E3EF-4BDC-806C-2D649F1D0CFE}" type="parTrans" cxnId="{CBD17393-B2A9-4DD2-AEE7-5EED45ABFD51}">
      <dgm:prSet/>
      <dgm:spPr/>
      <dgm:t>
        <a:bodyPr/>
        <a:lstStyle/>
        <a:p>
          <a:endParaRPr lang="en-US"/>
        </a:p>
      </dgm:t>
    </dgm:pt>
    <dgm:pt modelId="{D2C6F730-3025-4C24-AC10-DA9F117B0760}" type="sibTrans" cxnId="{CBD17393-B2A9-4DD2-AEE7-5EED45ABFD51}">
      <dgm:prSet/>
      <dgm:spPr/>
      <dgm:t>
        <a:bodyPr/>
        <a:lstStyle/>
        <a:p>
          <a:endParaRPr lang="en-US"/>
        </a:p>
      </dgm:t>
    </dgm:pt>
    <dgm:pt modelId="{6A7B480B-496F-498D-A268-161D38BA88BE}">
      <dgm:prSet phldrT="[Text]" custT="1"/>
      <dgm:spPr/>
      <dgm:t>
        <a:bodyPr/>
        <a:lstStyle/>
        <a:p>
          <a:r>
            <a:rPr lang="sr-Cyrl-RS" sz="1050">
              <a:solidFill>
                <a:sysClr val="windowText" lastClr="000000"/>
              </a:solidFill>
            </a:rPr>
            <a:t>Субвенције приватним предузећима 1,500,000</a:t>
          </a:r>
          <a:endParaRPr lang="en-US" sz="1050">
            <a:solidFill>
              <a:sysClr val="windowText" lastClr="000000"/>
            </a:solidFill>
          </a:endParaRPr>
        </a:p>
      </dgm:t>
    </dgm:pt>
    <dgm:pt modelId="{BACA6F61-5BB2-4813-BF01-C47E2253396A}" type="parTrans" cxnId="{A1618BB7-5903-496B-B322-D60428D1434F}">
      <dgm:prSet/>
      <dgm:spPr/>
    </dgm:pt>
    <dgm:pt modelId="{73CDB808-E4E6-4ABF-997F-80D7D17DA070}" type="sibTrans" cxnId="{A1618BB7-5903-496B-B322-D60428D1434F}">
      <dgm:prSet/>
      <dgm:spPr/>
    </dgm:pt>
    <dgm:pt modelId="{A1405E4D-C970-4128-9E56-A4918E7FADBD}">
      <dgm:prSet phldrT="[Text]" custT="1"/>
      <dgm:spPr/>
      <dgm:t>
        <a:bodyPr/>
        <a:lstStyle/>
        <a:p>
          <a:r>
            <a:rPr lang="sr-Cyrl-RS" sz="1050">
              <a:solidFill>
                <a:sysClr val="windowText" lastClr="000000"/>
              </a:solidFill>
            </a:rPr>
            <a:t>Сарадња са НСЗ 3,000,000</a:t>
          </a:r>
          <a:endParaRPr lang="en-US" sz="1050">
            <a:solidFill>
              <a:sysClr val="windowText" lastClr="000000"/>
            </a:solidFill>
          </a:endParaRPr>
        </a:p>
      </dgm:t>
    </dgm:pt>
    <dgm:pt modelId="{EEFFDDF5-3706-44FD-8E88-80E09E74EBB9}" type="parTrans" cxnId="{82C1DF1E-4AFA-4CBF-92BA-5CA349875C4D}">
      <dgm:prSet/>
      <dgm:spPr/>
    </dgm:pt>
    <dgm:pt modelId="{A22F0E14-9731-42EF-AED9-0A920F00DEE7}" type="sibTrans" cxnId="{82C1DF1E-4AFA-4CBF-92BA-5CA349875C4D}">
      <dgm:prSet/>
      <dgm:spPr/>
    </dgm:pt>
    <dgm:pt modelId="{DEB43A91-A5D8-4308-A618-34D2855DF648}" type="pres">
      <dgm:prSet presAssocID="{6466BD74-F5DE-4D65-B160-4D0F8506954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E31948E-DA3F-461C-87A1-455959E03600}" type="pres">
      <dgm:prSet presAssocID="{E8D3ABA9-FFEE-41F2-BF57-1020CCA6D2B2}" presName="linNode" presStyleCnt="0"/>
      <dgm:spPr/>
    </dgm:pt>
    <dgm:pt modelId="{EB6CEC48-2241-432D-8F6C-B7CF163E14E3}" type="pres">
      <dgm:prSet presAssocID="{E8D3ABA9-FFEE-41F2-BF57-1020CCA6D2B2}" presName="parentText" presStyleLbl="node1" presStyleIdx="0" presStyleCnt="3" custScaleY="2347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29B47A0-21DC-4D44-A52E-7587ACE6F3CE}" type="pres">
      <dgm:prSet presAssocID="{E8D3ABA9-FFEE-41F2-BF57-1020CCA6D2B2}" presName="descendantText" presStyleLbl="alignAccFollowNode1" presStyleIdx="0" presStyleCnt="3" custScaleY="3150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48EDC9-E61B-401E-AABC-21522FD37A72}" type="pres">
      <dgm:prSet presAssocID="{94F6DB45-F49B-4D4E-A2C7-5DE8466EFC8E}" presName="sp" presStyleCnt="0"/>
      <dgm:spPr/>
    </dgm:pt>
    <dgm:pt modelId="{49C0691C-3749-465C-A3DF-13CF41598E62}" type="pres">
      <dgm:prSet presAssocID="{0A6CA71E-023B-4F86-98FF-9BC0F7B32A95}" presName="linNode" presStyleCnt="0"/>
      <dgm:spPr/>
    </dgm:pt>
    <dgm:pt modelId="{7270D55D-FC74-45B0-B91B-18B91256D0ED}" type="pres">
      <dgm:prSet presAssocID="{0A6CA71E-023B-4F86-98FF-9BC0F7B32A95}" presName="parentText" presStyleLbl="node1" presStyleIdx="1" presStyleCnt="3" custScaleY="24634" custLinFactNeighborY="-321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950AB56-738B-4221-A75B-13FBE258A4E0}" type="pres">
      <dgm:prSet presAssocID="{0A6CA71E-023B-4F86-98FF-9BC0F7B32A95}" presName="descendantText" presStyleLbl="alignAccFollowNode1" presStyleIdx="1" presStyleCnt="3" custScaleY="366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004D0AB-9B49-4B59-BB9E-B4A35C98329D}" type="pres">
      <dgm:prSet presAssocID="{102E72F8-7F49-46B7-BEBF-27973321A49E}" presName="sp" presStyleCnt="0"/>
      <dgm:spPr/>
    </dgm:pt>
    <dgm:pt modelId="{9F4EA147-8EE7-41C2-A725-460BD473551A}" type="pres">
      <dgm:prSet presAssocID="{83CB544D-0D27-43CB-A2DC-71A580B88005}" presName="linNode" presStyleCnt="0"/>
      <dgm:spPr/>
    </dgm:pt>
    <dgm:pt modelId="{D2F2CF0D-57E2-47F1-8524-A8C5B68AB583}" type="pres">
      <dgm:prSet presAssocID="{83CB544D-0D27-43CB-A2DC-71A580B88005}" presName="parentText" presStyleLbl="node1" presStyleIdx="2" presStyleCnt="3" custScaleY="25063" custLinFactNeighborY="-744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133094-80A6-4719-A2BA-C38660F2C1EE}" type="pres">
      <dgm:prSet presAssocID="{83CB544D-0D27-43CB-A2DC-71A580B88005}" presName="descendantText" presStyleLbl="alignAccFollowNode1" presStyleIdx="2" presStyleCnt="3" custScaleY="389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83B9986-5E52-4EB1-92E6-9ED796021988}" type="presOf" srcId="{0FC2E7AF-C7E1-4C71-A455-684E77FD9E03}" destId="{429B47A0-21DC-4D44-A52E-7587ACE6F3CE}" srcOrd="0" destOrd="0" presId="urn:microsoft.com/office/officeart/2005/8/layout/vList5"/>
    <dgm:cxn modelId="{82C1DF1E-4AFA-4CBF-92BA-5CA349875C4D}" srcId="{83CB544D-0D27-43CB-A2DC-71A580B88005}" destId="{A1405E4D-C970-4128-9E56-A4918E7FADBD}" srcOrd="3" destOrd="0" parTransId="{EEFFDDF5-3706-44FD-8E88-80E09E74EBB9}" sibTransId="{A22F0E14-9731-42EF-AED9-0A920F00DEE7}"/>
    <dgm:cxn modelId="{0925E079-C146-465B-A9DF-EA072A56C0C5}" type="presOf" srcId="{52C1C1D7-1BFC-4A57-B740-998CBD5FB687}" destId="{11133094-80A6-4719-A2BA-C38660F2C1EE}" srcOrd="0" destOrd="4" presId="urn:microsoft.com/office/officeart/2005/8/layout/vList5"/>
    <dgm:cxn modelId="{8A6332D7-A620-4630-8355-4E7C3C15FE6F}" srcId="{83CB544D-0D27-43CB-A2DC-71A580B88005}" destId="{52C1C1D7-1BFC-4A57-B740-998CBD5FB687}" srcOrd="4" destOrd="0" parTransId="{8E6A1B1E-096A-4ABE-B4A7-E25F2ADC9DC8}" sibTransId="{1BBDE0CC-7E88-4296-A2CF-FE563138475C}"/>
    <dgm:cxn modelId="{9E45D229-EC44-47B3-B6A8-078E26860F33}" type="presOf" srcId="{B53A0101-9354-4B76-AC7F-EEBBB9F72B81}" destId="{8950AB56-738B-4221-A75B-13FBE258A4E0}" srcOrd="0" destOrd="0" presId="urn:microsoft.com/office/officeart/2005/8/layout/vList5"/>
    <dgm:cxn modelId="{575928AB-8751-4AF6-9E60-EE3F00D5C9F1}" srcId="{0A6CA71E-023B-4F86-98FF-9BC0F7B32A95}" destId="{B53A0101-9354-4B76-AC7F-EEBBB9F72B81}" srcOrd="0" destOrd="0" parTransId="{6E4C2E47-465E-466A-9062-8667E3E43DFD}" sibTransId="{06612D1C-82C0-4EB8-84B4-120F384D422B}"/>
    <dgm:cxn modelId="{AB82FDF6-DF1B-4C19-AD3B-08CB191FC538}" srcId="{6466BD74-F5DE-4D65-B160-4D0F85069540}" destId="{83CB544D-0D27-43CB-A2DC-71A580B88005}" srcOrd="2" destOrd="0" parTransId="{4AEE662C-F288-46C2-8D9C-692352822CCD}" sibTransId="{2AC505CF-A45B-46B3-B1D1-45AC42636BEE}"/>
    <dgm:cxn modelId="{AF914CD0-5BA6-4E38-A142-C4CA4BF3B544}" type="presOf" srcId="{83CB544D-0D27-43CB-A2DC-71A580B88005}" destId="{D2F2CF0D-57E2-47F1-8524-A8C5B68AB583}" srcOrd="0" destOrd="0" presId="urn:microsoft.com/office/officeart/2005/8/layout/vList5"/>
    <dgm:cxn modelId="{5273EB78-5059-49C1-99FC-EDB357B075D5}" type="presOf" srcId="{282B68D1-CBA6-4C26-AAA3-26A485B60904}" destId="{11133094-80A6-4719-A2BA-C38660F2C1EE}" srcOrd="0" destOrd="1" presId="urn:microsoft.com/office/officeart/2005/8/layout/vList5"/>
    <dgm:cxn modelId="{B63850F6-6452-469F-AEAB-C8CF4D91712D}" type="presOf" srcId="{6045C533-A070-4D65-A5F9-8846DFA367B7}" destId="{11133094-80A6-4719-A2BA-C38660F2C1EE}" srcOrd="0" destOrd="0" presId="urn:microsoft.com/office/officeart/2005/8/layout/vList5"/>
    <dgm:cxn modelId="{B662C15B-104F-43D8-B5CB-B612C4D8D126}" srcId="{6466BD74-F5DE-4D65-B160-4D0F85069540}" destId="{E8D3ABA9-FFEE-41F2-BF57-1020CCA6D2B2}" srcOrd="0" destOrd="0" parTransId="{F777D95F-032E-4FA1-8BCB-E26772750A90}" sibTransId="{94F6DB45-F49B-4D4E-A2C7-5DE8466EFC8E}"/>
    <dgm:cxn modelId="{8D788CAC-6D83-48D5-8B9B-5DB04F717696}" type="presOf" srcId="{0A6CA71E-023B-4F86-98FF-9BC0F7B32A95}" destId="{7270D55D-FC74-45B0-B91B-18B91256D0ED}" srcOrd="0" destOrd="0" presId="urn:microsoft.com/office/officeart/2005/8/layout/vList5"/>
    <dgm:cxn modelId="{1C17C51E-A57A-4BF1-B2E7-A6CFF6592048}" type="presOf" srcId="{3B9F9EE8-2D45-4444-997B-007620FC5762}" destId="{429B47A0-21DC-4D44-A52E-7587ACE6F3CE}" srcOrd="0" destOrd="2" presId="urn:microsoft.com/office/officeart/2005/8/layout/vList5"/>
    <dgm:cxn modelId="{9A49E328-DE8C-4677-93F7-BEEDC8887E63}" srcId="{E8D3ABA9-FFEE-41F2-BF57-1020CCA6D2B2}" destId="{0FC2E7AF-C7E1-4C71-A455-684E77FD9E03}" srcOrd="0" destOrd="0" parTransId="{877F413C-2E42-4BCD-A38F-B574F0691F4C}" sibTransId="{9038A03D-C27D-42EE-8F28-761A3B12AA65}"/>
    <dgm:cxn modelId="{040F1F90-3A75-4130-B903-B4897EB3FBA6}" type="presOf" srcId="{E8D3ABA9-FFEE-41F2-BF57-1020CCA6D2B2}" destId="{EB6CEC48-2241-432D-8F6C-B7CF163E14E3}" srcOrd="0" destOrd="0" presId="urn:microsoft.com/office/officeart/2005/8/layout/vList5"/>
    <dgm:cxn modelId="{9BD06BDA-696F-43C1-942A-39FE323E602F}" type="presOf" srcId="{6A7B480B-496F-498D-A268-161D38BA88BE}" destId="{11133094-80A6-4719-A2BA-C38660F2C1EE}" srcOrd="0" destOrd="2" presId="urn:microsoft.com/office/officeart/2005/8/layout/vList5"/>
    <dgm:cxn modelId="{A2F3980D-57BB-4CC4-876E-DCDD0F48DF81}" type="presOf" srcId="{74FA7685-3DD1-4BD3-AEB2-ACAB17AC83CB}" destId="{429B47A0-21DC-4D44-A52E-7587ACE6F3CE}" srcOrd="0" destOrd="1" presId="urn:microsoft.com/office/officeart/2005/8/layout/vList5"/>
    <dgm:cxn modelId="{CBD17393-B2A9-4DD2-AEE7-5EED45ABFD51}" srcId="{E8D3ABA9-FFEE-41F2-BF57-1020CCA6D2B2}" destId="{3B9F9EE8-2D45-4444-997B-007620FC5762}" srcOrd="2" destOrd="0" parTransId="{37DAED89-E3EF-4BDC-806C-2D649F1D0CFE}" sibTransId="{D2C6F730-3025-4C24-AC10-DA9F117B0760}"/>
    <dgm:cxn modelId="{E7E998DD-A18B-4FE2-8ED2-911BCC0C0D31}" srcId="{83CB544D-0D27-43CB-A2DC-71A580B88005}" destId="{6045C533-A070-4D65-A5F9-8846DFA367B7}" srcOrd="0" destOrd="0" parTransId="{14B9BCDF-4B61-45B4-9C1B-185A37CB2FD7}" sibTransId="{47D9E9A6-F253-4DAA-98E2-7E81A8B9BBD6}"/>
    <dgm:cxn modelId="{9E6EF4E4-D65D-4BA7-8C73-F19A3BFDB1D3}" srcId="{0A6CA71E-023B-4F86-98FF-9BC0F7B32A95}" destId="{EA88F797-F169-4400-993E-F7C0FEA2CDCA}" srcOrd="1" destOrd="0" parTransId="{109E90D1-A70D-40F6-9476-9E597B20173F}" sibTransId="{842CD2CA-0239-48A3-980B-6EE4344DBF70}"/>
    <dgm:cxn modelId="{676C6091-BEF0-44C7-8944-E7F5B39386AE}" srcId="{83CB544D-0D27-43CB-A2DC-71A580B88005}" destId="{282B68D1-CBA6-4C26-AAA3-26A485B60904}" srcOrd="1" destOrd="0" parTransId="{9CCEFC0F-048A-4E86-9C17-96A514BA0056}" sibTransId="{C307C145-4174-43E0-9B18-BFAFC8D8CA49}"/>
    <dgm:cxn modelId="{A1618BB7-5903-496B-B322-D60428D1434F}" srcId="{83CB544D-0D27-43CB-A2DC-71A580B88005}" destId="{6A7B480B-496F-498D-A268-161D38BA88BE}" srcOrd="2" destOrd="0" parTransId="{BACA6F61-5BB2-4813-BF01-C47E2253396A}" sibTransId="{73CDB808-E4E6-4ABF-997F-80D7D17DA070}"/>
    <dgm:cxn modelId="{2BBDBDB1-D1E2-44DF-BA97-CE38E3A10EEC}" srcId="{6466BD74-F5DE-4D65-B160-4D0F85069540}" destId="{0A6CA71E-023B-4F86-98FF-9BC0F7B32A95}" srcOrd="1" destOrd="0" parTransId="{AB2ED6C2-A22E-4365-8AA9-DD8934DAE788}" sibTransId="{102E72F8-7F49-46B7-BEBF-27973321A49E}"/>
    <dgm:cxn modelId="{F8A97FE2-277F-4A29-819C-CC65649BBF4F}" type="presOf" srcId="{6466BD74-F5DE-4D65-B160-4D0F85069540}" destId="{DEB43A91-A5D8-4308-A618-34D2855DF648}" srcOrd="0" destOrd="0" presId="urn:microsoft.com/office/officeart/2005/8/layout/vList5"/>
    <dgm:cxn modelId="{1D8DCF7B-10F8-4F66-8876-9750C7F3311B}" type="presOf" srcId="{A1405E4D-C970-4128-9E56-A4918E7FADBD}" destId="{11133094-80A6-4719-A2BA-C38660F2C1EE}" srcOrd="0" destOrd="3" presId="urn:microsoft.com/office/officeart/2005/8/layout/vList5"/>
    <dgm:cxn modelId="{DB0868FA-3F2B-458A-9820-16D268247C20}" srcId="{E8D3ABA9-FFEE-41F2-BF57-1020CCA6D2B2}" destId="{74FA7685-3DD1-4BD3-AEB2-ACAB17AC83CB}" srcOrd="1" destOrd="0" parTransId="{C516754D-3E60-461C-8E7D-2F306B353DAB}" sibTransId="{C083710A-B4B8-464D-A05A-DBF886213573}"/>
    <dgm:cxn modelId="{5E1B44B1-4D8C-45CE-907B-5015E0F4DA03}" type="presOf" srcId="{EA88F797-F169-4400-993E-F7C0FEA2CDCA}" destId="{8950AB56-738B-4221-A75B-13FBE258A4E0}" srcOrd="0" destOrd="1" presId="urn:microsoft.com/office/officeart/2005/8/layout/vList5"/>
    <dgm:cxn modelId="{3600D9AB-A306-4F7E-BE57-5692E96440E9}" type="presParOf" srcId="{DEB43A91-A5D8-4308-A618-34D2855DF648}" destId="{AE31948E-DA3F-461C-87A1-455959E03600}" srcOrd="0" destOrd="0" presId="urn:microsoft.com/office/officeart/2005/8/layout/vList5"/>
    <dgm:cxn modelId="{83DA2766-AEC6-4AC4-AA32-7C1F851FEC88}" type="presParOf" srcId="{AE31948E-DA3F-461C-87A1-455959E03600}" destId="{EB6CEC48-2241-432D-8F6C-B7CF163E14E3}" srcOrd="0" destOrd="0" presId="urn:microsoft.com/office/officeart/2005/8/layout/vList5"/>
    <dgm:cxn modelId="{C4B5CE03-F7D0-4EF2-A9FE-22107B35862B}" type="presParOf" srcId="{AE31948E-DA3F-461C-87A1-455959E03600}" destId="{429B47A0-21DC-4D44-A52E-7587ACE6F3CE}" srcOrd="1" destOrd="0" presId="urn:microsoft.com/office/officeart/2005/8/layout/vList5"/>
    <dgm:cxn modelId="{7C2BFB7E-1102-4074-9191-756DD9CFAF3B}" type="presParOf" srcId="{DEB43A91-A5D8-4308-A618-34D2855DF648}" destId="{4D48EDC9-E61B-401E-AABC-21522FD37A72}" srcOrd="1" destOrd="0" presId="urn:microsoft.com/office/officeart/2005/8/layout/vList5"/>
    <dgm:cxn modelId="{808C3692-6007-4B15-AE97-81041C80D194}" type="presParOf" srcId="{DEB43A91-A5D8-4308-A618-34D2855DF648}" destId="{49C0691C-3749-465C-A3DF-13CF41598E62}" srcOrd="2" destOrd="0" presId="urn:microsoft.com/office/officeart/2005/8/layout/vList5"/>
    <dgm:cxn modelId="{092ED815-D47D-4C48-8A7F-409F018EA8F9}" type="presParOf" srcId="{49C0691C-3749-465C-A3DF-13CF41598E62}" destId="{7270D55D-FC74-45B0-B91B-18B91256D0ED}" srcOrd="0" destOrd="0" presId="urn:microsoft.com/office/officeart/2005/8/layout/vList5"/>
    <dgm:cxn modelId="{2902B45C-9A99-4902-A942-0DBE1AF933F9}" type="presParOf" srcId="{49C0691C-3749-465C-A3DF-13CF41598E62}" destId="{8950AB56-738B-4221-A75B-13FBE258A4E0}" srcOrd="1" destOrd="0" presId="urn:microsoft.com/office/officeart/2005/8/layout/vList5"/>
    <dgm:cxn modelId="{ED961DF3-1A06-4E6C-BBC2-0DBA96EE1F10}" type="presParOf" srcId="{DEB43A91-A5D8-4308-A618-34D2855DF648}" destId="{E004D0AB-9B49-4B59-BB9E-B4A35C98329D}" srcOrd="3" destOrd="0" presId="urn:microsoft.com/office/officeart/2005/8/layout/vList5"/>
    <dgm:cxn modelId="{573C7458-04BD-4F81-9B55-084AFE7F51CE}" type="presParOf" srcId="{DEB43A91-A5D8-4308-A618-34D2855DF648}" destId="{9F4EA147-8EE7-41C2-A725-460BD473551A}" srcOrd="4" destOrd="0" presId="urn:microsoft.com/office/officeart/2005/8/layout/vList5"/>
    <dgm:cxn modelId="{8516315B-E5CB-44BC-A8FC-7D5C3B3C6CA4}" type="presParOf" srcId="{9F4EA147-8EE7-41C2-A725-460BD473551A}" destId="{D2F2CF0D-57E2-47F1-8524-A8C5B68AB583}" srcOrd="0" destOrd="0" presId="urn:microsoft.com/office/officeart/2005/8/layout/vList5"/>
    <dgm:cxn modelId="{2058C787-BE22-44B6-8904-ADC54EA7128E}" type="presParOf" srcId="{9F4EA147-8EE7-41C2-A725-460BD473551A}" destId="{11133094-80A6-4719-A2BA-C38660F2C1E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169.xml><?xml version="1.0" encoding="utf-8"?>
<dgm:dataModel xmlns:dgm="http://schemas.openxmlformats.org/drawingml/2006/diagram" xmlns:a="http://schemas.openxmlformats.org/drawingml/2006/main">
  <dgm:ptLst>
    <dgm:pt modelId="{2711BD8E-184B-4608-9D93-6E3B8491A437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85FEB6E-7E98-4C99-A81A-29FAECAE73CA}">
      <dgm:prSet phldrT="[Text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РЕКРЕАЦИЈА И СПОРТ  </a:t>
          </a:r>
          <a:r>
            <a:rPr lang="sr-Cyrl-RS" sz="1100"/>
            <a:t>69,29</a:t>
          </a:r>
          <a:r>
            <a:rPr lang="sr-Cyrl-CS" sz="1100"/>
            <a:t>0.000,00 ДИНАРА</a:t>
          </a:r>
          <a:endParaRPr lang="en-US" sz="1100"/>
        </a:p>
      </dgm:t>
    </dgm:pt>
    <dgm:pt modelId="{AEBFAFB2-BD85-4808-A0FE-AF3BC056B34F}" type="parTrans" cxnId="{073B7EAC-9C17-46A6-8DEB-5ECD1AC3AA9C}">
      <dgm:prSet/>
      <dgm:spPr/>
      <dgm:t>
        <a:bodyPr/>
        <a:lstStyle/>
        <a:p>
          <a:endParaRPr lang="en-US"/>
        </a:p>
      </dgm:t>
    </dgm:pt>
    <dgm:pt modelId="{B96BF0AB-25EC-4636-A948-0ED63A20C34D}" type="sibTrans" cxnId="{073B7EAC-9C17-46A6-8DEB-5ECD1AC3AA9C}">
      <dgm:prSet/>
      <dgm:spPr/>
      <dgm:t>
        <a:bodyPr/>
        <a:lstStyle/>
        <a:p>
          <a:endParaRPr lang="en-US"/>
        </a:p>
      </dgm:t>
    </dgm:pt>
    <dgm:pt modelId="{3CBE569B-3DD3-4805-93AE-A6F0E302B41E}">
      <dgm:prSet phldrT="[Text]" custT="1"/>
      <dgm:spPr/>
      <dgm:t>
        <a:bodyPr/>
        <a:lstStyle/>
        <a:p>
          <a:r>
            <a:rPr lang="sr-Cyrl-CS" sz="1000" b="1"/>
            <a:t>  СПОРТСКЕ ОРГАНИЗАЦИЈЕ                   </a:t>
          </a:r>
          <a:r>
            <a:rPr lang="sr-Cyrl-RS" sz="1000" b="1"/>
            <a:t>19</a:t>
          </a:r>
          <a:r>
            <a:rPr lang="sr-Cyrl-CS" sz="1000" b="1"/>
            <a:t>,000.000</a:t>
          </a:r>
          <a:endParaRPr lang="en-US" sz="1000" b="1"/>
        </a:p>
      </dgm:t>
    </dgm:pt>
    <dgm:pt modelId="{FDEE6C04-8196-434C-A229-50E0E790B6A7}" type="parTrans" cxnId="{8EF4CDFE-1D3A-4699-BA62-D9A1B08734F6}">
      <dgm:prSet/>
      <dgm:spPr/>
      <dgm:t>
        <a:bodyPr/>
        <a:lstStyle/>
        <a:p>
          <a:endParaRPr lang="en-US"/>
        </a:p>
      </dgm:t>
    </dgm:pt>
    <dgm:pt modelId="{29708A7A-D61D-4952-B0E0-CBBA5EA438CE}" type="sibTrans" cxnId="{8EF4CDFE-1D3A-4699-BA62-D9A1B08734F6}">
      <dgm:prSet/>
      <dgm:spPr/>
      <dgm:t>
        <a:bodyPr/>
        <a:lstStyle/>
        <a:p>
          <a:endParaRPr lang="en-US"/>
        </a:p>
      </dgm:t>
    </dgm:pt>
    <dgm:pt modelId="{A2C1A815-43F6-4C18-AF71-C00C5D981EDE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КУЛТУРА </a:t>
          </a:r>
        </a:p>
        <a:p>
          <a:r>
            <a:rPr lang="sr-Cyrl-RS" sz="1100"/>
            <a:t>38,96</a:t>
          </a:r>
          <a:r>
            <a:rPr lang="sr-Cyrl-CS" sz="1100"/>
            <a:t>0.000,00 ДИНАРА</a:t>
          </a:r>
          <a:endParaRPr lang="en-US" sz="1100"/>
        </a:p>
      </dgm:t>
    </dgm:pt>
    <dgm:pt modelId="{1B4C4F86-6071-4DF1-8599-A0301345375D}" type="parTrans" cxnId="{FB2376ED-0522-45F1-9CDC-5A30A88660F6}">
      <dgm:prSet/>
      <dgm:spPr/>
      <dgm:t>
        <a:bodyPr/>
        <a:lstStyle/>
        <a:p>
          <a:endParaRPr lang="en-US"/>
        </a:p>
      </dgm:t>
    </dgm:pt>
    <dgm:pt modelId="{ECC6331D-D1A6-4E07-B080-9BD76FB28E6E}" type="sibTrans" cxnId="{FB2376ED-0522-45F1-9CDC-5A30A88660F6}">
      <dgm:prSet/>
      <dgm:spPr/>
      <dgm:t>
        <a:bodyPr/>
        <a:lstStyle/>
        <a:p>
          <a:endParaRPr lang="en-US"/>
        </a:p>
      </dgm:t>
    </dgm:pt>
    <dgm:pt modelId="{253B94B7-E5EC-4997-90CA-02B2F1DB4A4F}">
      <dgm:prSet phldrT="[Text]" custT="1"/>
      <dgm:spPr/>
      <dgm:t>
        <a:bodyPr/>
        <a:lstStyle/>
        <a:p>
          <a:endParaRPr lang="en-US" sz="1000" b="1"/>
        </a:p>
      </dgm:t>
    </dgm:pt>
    <dgm:pt modelId="{0A9C6031-4584-42F5-8A3F-C420F21DF616}" type="parTrans" cxnId="{3B18476C-7690-4538-B1F6-3CF5302E1413}">
      <dgm:prSet/>
      <dgm:spPr/>
      <dgm:t>
        <a:bodyPr/>
        <a:lstStyle/>
        <a:p>
          <a:endParaRPr lang="en-US"/>
        </a:p>
      </dgm:t>
    </dgm:pt>
    <dgm:pt modelId="{78396B0D-DDEA-4E37-BB56-094B62838DB7}" type="sibTrans" cxnId="{3B18476C-7690-4538-B1F6-3CF5302E1413}">
      <dgm:prSet/>
      <dgm:spPr/>
      <dgm:t>
        <a:bodyPr/>
        <a:lstStyle/>
        <a:p>
          <a:endParaRPr lang="en-US"/>
        </a:p>
      </dgm:t>
    </dgm:pt>
    <dgm:pt modelId="{FECFE3FA-1B3A-40A2-B005-4C7824D97AC3}">
      <dgm:prSet phldrT="[Text]" custT="1"/>
      <dgm:spPr/>
      <dgm:t>
        <a:bodyPr/>
        <a:lstStyle/>
        <a:p>
          <a:r>
            <a:rPr lang="sr-Cyrl-CS" sz="1000" b="1"/>
            <a:t> ПОДРШКА НВО СЕКТОРУ ИЗ ОБЛАСТИ КУЛТУРЕ са</a:t>
          </a:r>
          <a:r>
            <a:rPr lang="sr-Cyrl-CS" sz="1000" b="0"/>
            <a:t> </a:t>
          </a:r>
          <a:r>
            <a:rPr lang="sr-Cyrl-CS" sz="1000" b="1"/>
            <a:t>укупно                                                                3,500.000 </a:t>
          </a:r>
          <a:endParaRPr lang="en-US" sz="1000" b="1"/>
        </a:p>
      </dgm:t>
    </dgm:pt>
    <dgm:pt modelId="{EB717A60-E96A-4857-B1D5-57FD9271A40E}" type="parTrans" cxnId="{D3D6EE7B-C979-432F-B5E6-C03E1E036266}">
      <dgm:prSet/>
      <dgm:spPr/>
      <dgm:t>
        <a:bodyPr/>
        <a:lstStyle/>
        <a:p>
          <a:endParaRPr lang="en-US"/>
        </a:p>
      </dgm:t>
    </dgm:pt>
    <dgm:pt modelId="{6EA5A837-59FB-4C7D-9530-0AB12A5944FD}" type="sibTrans" cxnId="{D3D6EE7B-C979-432F-B5E6-C03E1E036266}">
      <dgm:prSet/>
      <dgm:spPr/>
      <dgm:t>
        <a:bodyPr/>
        <a:lstStyle/>
        <a:p>
          <a:endParaRPr lang="en-US"/>
        </a:p>
      </dgm:t>
    </dgm:pt>
    <dgm:pt modelId="{736DC3B1-0061-40FE-8E78-0EF7DEB2EE81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ИНФОРМИСАЊЕ </a:t>
          </a:r>
        </a:p>
        <a:p>
          <a:r>
            <a:rPr lang="en-US" sz="1100"/>
            <a:t>4.5</a:t>
          </a:r>
          <a:r>
            <a:rPr lang="sr-Cyrl-CS" sz="1100"/>
            <a:t>00.000,00 ДИНАРА</a:t>
          </a:r>
          <a:endParaRPr lang="en-US" sz="1100"/>
        </a:p>
      </dgm:t>
    </dgm:pt>
    <dgm:pt modelId="{779F43AE-C370-4F73-8076-9005C602579B}" type="parTrans" cxnId="{C1563AEE-FC5A-4745-8C95-D2B7C806BB79}">
      <dgm:prSet/>
      <dgm:spPr/>
      <dgm:t>
        <a:bodyPr/>
        <a:lstStyle/>
        <a:p>
          <a:endParaRPr lang="en-US"/>
        </a:p>
      </dgm:t>
    </dgm:pt>
    <dgm:pt modelId="{DC1F2823-5489-4DDF-B0BE-2569C337366C}" type="sibTrans" cxnId="{C1563AEE-FC5A-4745-8C95-D2B7C806BB79}">
      <dgm:prSet/>
      <dgm:spPr/>
      <dgm:t>
        <a:bodyPr/>
        <a:lstStyle/>
        <a:p>
          <a:endParaRPr lang="en-US"/>
        </a:p>
      </dgm:t>
    </dgm:pt>
    <dgm:pt modelId="{9881182C-00EF-46A3-8CFE-4983A52536ED}">
      <dgm:prSet phldrT="[Text]" custT="1"/>
      <dgm:spPr/>
      <dgm:t>
        <a:bodyPr/>
        <a:lstStyle/>
        <a:p>
          <a:r>
            <a:rPr lang="sr-Cyrl-CS" sz="1000" b="1"/>
            <a:t> УСТАНОВА СЦ КУЊАК                             </a:t>
          </a:r>
          <a:r>
            <a:rPr lang="sr-Cyrl-RS" sz="1000" b="1"/>
            <a:t>36,090</a:t>
          </a:r>
          <a:r>
            <a:rPr lang="sr-Cyrl-CS" sz="1000" b="1"/>
            <a:t>.000</a:t>
          </a:r>
          <a:endParaRPr lang="en-US" sz="1000" b="1"/>
        </a:p>
      </dgm:t>
    </dgm:pt>
    <dgm:pt modelId="{D27D7A34-F0AB-4004-BAC7-95C39418E208}" type="parTrans" cxnId="{6B6CD8AC-9DB3-4230-88B8-0367F4355C03}">
      <dgm:prSet/>
      <dgm:spPr/>
      <dgm:t>
        <a:bodyPr/>
        <a:lstStyle/>
        <a:p>
          <a:endParaRPr lang="en-US"/>
        </a:p>
      </dgm:t>
    </dgm:pt>
    <dgm:pt modelId="{190F6876-7E3A-411F-B22F-00F97F21E148}" type="sibTrans" cxnId="{6B6CD8AC-9DB3-4230-88B8-0367F4355C03}">
      <dgm:prSet/>
      <dgm:spPr/>
      <dgm:t>
        <a:bodyPr/>
        <a:lstStyle/>
        <a:p>
          <a:endParaRPr lang="en-US"/>
        </a:p>
      </dgm:t>
    </dgm:pt>
    <dgm:pt modelId="{906B5AC3-871C-4950-8841-39E3894FBC54}">
      <dgm:prSet phldrT="[Text]" custT="1"/>
      <dgm:spPr/>
      <dgm:t>
        <a:bodyPr/>
        <a:lstStyle/>
        <a:p>
          <a:endParaRPr lang="en-US" sz="1000"/>
        </a:p>
      </dgm:t>
    </dgm:pt>
    <dgm:pt modelId="{D1B7B2B9-3A72-46AA-88B5-358C667B959F}" type="parTrans" cxnId="{397E87F2-0171-4F97-8F4B-226A87F4249C}">
      <dgm:prSet/>
      <dgm:spPr/>
      <dgm:t>
        <a:bodyPr/>
        <a:lstStyle/>
        <a:p>
          <a:endParaRPr lang="en-US"/>
        </a:p>
      </dgm:t>
    </dgm:pt>
    <dgm:pt modelId="{073F8631-A750-4CC6-B19F-E8D089E82BF4}" type="sibTrans" cxnId="{397E87F2-0171-4F97-8F4B-226A87F4249C}">
      <dgm:prSet/>
      <dgm:spPr/>
      <dgm:t>
        <a:bodyPr/>
        <a:lstStyle/>
        <a:p>
          <a:endParaRPr lang="en-US"/>
        </a:p>
      </dgm:t>
    </dgm:pt>
    <dgm:pt modelId="{05E97F9D-BCCC-4316-B05B-4240BE4EC45D}">
      <dgm:prSet custT="1"/>
      <dgm:spPr/>
      <dgm:t>
        <a:bodyPr/>
        <a:lstStyle/>
        <a:p>
          <a:r>
            <a:rPr lang="sr-Cyrl-CS" sz="1100"/>
            <a:t>подразумева субвенционисање медијских кућа у циљу остваривања јавног интереса у области информисања. Овај вид подршке информисању реализује се путем конкурса</a:t>
          </a:r>
          <a:endParaRPr lang="en-US" sz="1100"/>
        </a:p>
      </dgm:t>
    </dgm:pt>
    <dgm:pt modelId="{C4DB2E62-0B3A-46CB-BCBA-ADE044B26DA3}" type="parTrans" cxnId="{02D631E3-4C91-4BAB-8682-71891EAD42FB}">
      <dgm:prSet/>
      <dgm:spPr/>
      <dgm:t>
        <a:bodyPr/>
        <a:lstStyle/>
        <a:p>
          <a:endParaRPr lang="en-US"/>
        </a:p>
      </dgm:t>
    </dgm:pt>
    <dgm:pt modelId="{B37627E3-72F5-4DB5-9938-213EBEE33A09}" type="sibTrans" cxnId="{02D631E3-4C91-4BAB-8682-71891EAD42FB}">
      <dgm:prSet/>
      <dgm:spPr/>
      <dgm:t>
        <a:bodyPr/>
        <a:lstStyle/>
        <a:p>
          <a:endParaRPr lang="en-US"/>
        </a:p>
      </dgm:t>
    </dgm:pt>
    <dgm:pt modelId="{3C079AE0-14AD-4A6A-A1AB-64B944140E01}">
      <dgm:prSet/>
      <dgm:spPr/>
      <dgm:t>
        <a:bodyPr/>
        <a:lstStyle/>
        <a:p>
          <a:endParaRPr lang="en-US"/>
        </a:p>
      </dgm:t>
    </dgm:pt>
    <dgm:pt modelId="{1D62551F-289D-45EB-9BC0-055E19DB35FF}" type="parTrans" cxnId="{CDD1F9D1-58B5-49B8-B2FB-EB75DBC5646E}">
      <dgm:prSet/>
      <dgm:spPr/>
      <dgm:t>
        <a:bodyPr/>
        <a:lstStyle/>
        <a:p>
          <a:endParaRPr lang="en-US"/>
        </a:p>
      </dgm:t>
    </dgm:pt>
    <dgm:pt modelId="{243680E8-BFA6-4BF5-B757-B98D0FFE3A5D}" type="sibTrans" cxnId="{CDD1F9D1-58B5-49B8-B2FB-EB75DBC5646E}">
      <dgm:prSet/>
      <dgm:spPr/>
      <dgm:t>
        <a:bodyPr/>
        <a:lstStyle/>
        <a:p>
          <a:endParaRPr lang="en-US"/>
        </a:p>
      </dgm:t>
    </dgm:pt>
    <dgm:pt modelId="{4161626A-D581-4ED1-BB78-E7EFE28F80EA}">
      <dgm:prSet/>
      <dgm:spPr/>
      <dgm:t>
        <a:bodyPr/>
        <a:lstStyle/>
        <a:p>
          <a:endParaRPr lang="en-US"/>
        </a:p>
      </dgm:t>
    </dgm:pt>
    <dgm:pt modelId="{80158442-78E9-4A0D-B958-F03AAB73506F}" type="parTrans" cxnId="{C48B5E8E-4169-4D5C-B67D-ABB727DB3F5D}">
      <dgm:prSet/>
      <dgm:spPr/>
      <dgm:t>
        <a:bodyPr/>
        <a:lstStyle/>
        <a:p>
          <a:endParaRPr lang="en-US"/>
        </a:p>
      </dgm:t>
    </dgm:pt>
    <dgm:pt modelId="{FBE92B9F-9E24-4192-87E6-C4CCE03D2A1B}" type="sibTrans" cxnId="{C48B5E8E-4169-4D5C-B67D-ABB727DB3F5D}">
      <dgm:prSet/>
      <dgm:spPr/>
      <dgm:t>
        <a:bodyPr/>
        <a:lstStyle/>
        <a:p>
          <a:endParaRPr lang="en-US"/>
        </a:p>
      </dgm:t>
    </dgm:pt>
    <dgm:pt modelId="{A3EDDB60-C187-4687-BDDD-AC62D6996A7C}">
      <dgm:prSet phldrT="[Text]" custT="1"/>
      <dgm:spPr/>
      <dgm:t>
        <a:bodyPr/>
        <a:lstStyle/>
        <a:p>
          <a:r>
            <a:rPr lang="sr-Cyrl-RS" sz="1000" b="1"/>
            <a:t> ЦЕНТАР КУЛТУРЕ- функционисање       35,460.000</a:t>
          </a:r>
          <a:endParaRPr lang="en-US" sz="1000" b="1"/>
        </a:p>
      </dgm:t>
    </dgm:pt>
    <dgm:pt modelId="{17707005-D078-4A13-820D-83A57B46A1EF}" type="parTrans" cxnId="{AFF6C905-C693-44AA-B54F-C9CF6B248809}">
      <dgm:prSet/>
      <dgm:spPr/>
      <dgm:t>
        <a:bodyPr/>
        <a:lstStyle/>
        <a:p>
          <a:endParaRPr lang="en-US"/>
        </a:p>
      </dgm:t>
    </dgm:pt>
    <dgm:pt modelId="{27469B94-784F-4B03-A48E-985D2C3A5B2B}" type="sibTrans" cxnId="{AFF6C905-C693-44AA-B54F-C9CF6B248809}">
      <dgm:prSet/>
      <dgm:spPr/>
      <dgm:t>
        <a:bodyPr/>
        <a:lstStyle/>
        <a:p>
          <a:endParaRPr lang="en-US"/>
        </a:p>
      </dgm:t>
    </dgm:pt>
    <dgm:pt modelId="{464CD9FB-E0F8-4128-BCC4-0FECA1066B46}">
      <dgm:prSet phldrT="[Text]" custT="1"/>
      <dgm:spPr/>
      <dgm:t>
        <a:bodyPr/>
        <a:lstStyle/>
        <a:p>
          <a:endParaRPr lang="en-US" sz="1000" b="1">
            <a:solidFill>
              <a:sysClr val="windowText" lastClr="000000"/>
            </a:solidFill>
          </a:endParaRPr>
        </a:p>
      </dgm:t>
    </dgm:pt>
    <dgm:pt modelId="{746955C4-8774-4C89-BFB6-0653AD894860}" type="parTrans" cxnId="{380EE0CC-FFDA-4BF2-B337-EA41B6FEC5A5}">
      <dgm:prSet/>
      <dgm:spPr/>
      <dgm:t>
        <a:bodyPr/>
        <a:lstStyle/>
        <a:p>
          <a:endParaRPr lang="en-US"/>
        </a:p>
      </dgm:t>
    </dgm:pt>
    <dgm:pt modelId="{37C63B3F-CCB9-40A8-B92B-8C77865782C3}" type="sibTrans" cxnId="{380EE0CC-FFDA-4BF2-B337-EA41B6FEC5A5}">
      <dgm:prSet/>
      <dgm:spPr/>
      <dgm:t>
        <a:bodyPr/>
        <a:lstStyle/>
        <a:p>
          <a:endParaRPr lang="en-US"/>
        </a:p>
      </dgm:t>
    </dgm:pt>
    <dgm:pt modelId="{32789A72-F8D6-44B3-80FC-408D4ED12EFA}">
      <dgm:prSet phldrT="[Text]" custT="1"/>
      <dgm:spPr/>
      <dgm:t>
        <a:bodyPr/>
        <a:lstStyle/>
        <a:p>
          <a:r>
            <a:rPr lang="sr-Cyrl-RS" sz="1000" b="1"/>
            <a:t> ОПРЕМАЊЕ ИГРАЛИШТА                       11,000.00</a:t>
          </a:r>
          <a:endParaRPr lang="en-US" sz="1000" b="1"/>
        </a:p>
      </dgm:t>
    </dgm:pt>
    <dgm:pt modelId="{BCBB3C14-6FF6-4505-AAB7-C53262C3BFA4}" type="parTrans" cxnId="{B5FC1B0E-6239-470A-AD0C-9121AFFF1525}">
      <dgm:prSet/>
      <dgm:spPr/>
      <dgm:t>
        <a:bodyPr/>
        <a:lstStyle/>
        <a:p>
          <a:endParaRPr lang="en-US"/>
        </a:p>
      </dgm:t>
    </dgm:pt>
    <dgm:pt modelId="{AE42001C-0153-4002-952C-53D34D52D7D1}" type="sibTrans" cxnId="{B5FC1B0E-6239-470A-AD0C-9121AFFF1525}">
      <dgm:prSet/>
      <dgm:spPr/>
      <dgm:t>
        <a:bodyPr/>
        <a:lstStyle/>
        <a:p>
          <a:endParaRPr lang="en-US"/>
        </a:p>
      </dgm:t>
    </dgm:pt>
    <dgm:pt modelId="{39ABAACE-65DC-47A3-8D9D-8CC891A8B244}">
      <dgm:prSet phldrT="[Text]" custT="1"/>
      <dgm:spPr/>
      <dgm:t>
        <a:bodyPr/>
        <a:lstStyle/>
        <a:p>
          <a:r>
            <a:rPr lang="sr-Cyrl-RS" sz="1000" b="1"/>
            <a:t>оМЛАДИНСКА ПОЛИТИКА                        3,200.000</a:t>
          </a:r>
          <a:endParaRPr lang="en-US" sz="1000" b="1"/>
        </a:p>
      </dgm:t>
    </dgm:pt>
    <dgm:pt modelId="{8AE01B49-218C-4B90-BAA2-453FFE46B8B3}" type="parTrans" cxnId="{C72A6F62-6B93-4C24-A0AD-44C82B65BFF1}">
      <dgm:prSet/>
      <dgm:spPr/>
      <dgm:t>
        <a:bodyPr/>
        <a:lstStyle/>
        <a:p>
          <a:endParaRPr lang="sr-Latn-RS"/>
        </a:p>
      </dgm:t>
    </dgm:pt>
    <dgm:pt modelId="{9804A616-54E0-4C3A-9995-7DE7883659AD}" type="sibTrans" cxnId="{C72A6F62-6B93-4C24-A0AD-44C82B65BFF1}">
      <dgm:prSet/>
      <dgm:spPr/>
      <dgm:t>
        <a:bodyPr/>
        <a:lstStyle/>
        <a:p>
          <a:endParaRPr lang="sr-Latn-RS"/>
        </a:p>
      </dgm:t>
    </dgm:pt>
    <dgm:pt modelId="{85E8AFF9-A6AF-4C87-8607-E40B246CE7F2}" type="pres">
      <dgm:prSet presAssocID="{2711BD8E-184B-4608-9D93-6E3B8491A437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2876B27F-FEF3-488C-83DE-11833D8FC1DC}" type="pres">
      <dgm:prSet presAssocID="{B85FEB6E-7E98-4C99-A81A-29FAECAE73CA}" presName="linNode" presStyleCnt="0"/>
      <dgm:spPr/>
    </dgm:pt>
    <dgm:pt modelId="{6010A0B6-F6DE-4A89-9D9A-BC6C151DDBA2}" type="pres">
      <dgm:prSet presAssocID="{B85FEB6E-7E98-4C99-A81A-29FAECAE73CA}" presName="parentShp" presStyleLbl="node1" presStyleIdx="0" presStyleCnt="3" custScaleY="41884" custLinFactNeighborY="94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73C7E5-6152-4B5C-ADA9-C24A85B4D387}" type="pres">
      <dgm:prSet presAssocID="{B85FEB6E-7E98-4C99-A81A-29FAECAE73CA}" presName="childShp" presStyleLbl="bgAccFollowNode1" presStyleIdx="0" presStyleCnt="3" custScaleY="562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978BB9-D490-4734-BEB6-36621A12A1A1}" type="pres">
      <dgm:prSet presAssocID="{B96BF0AB-25EC-4636-A948-0ED63A20C34D}" presName="spacing" presStyleCnt="0"/>
      <dgm:spPr/>
    </dgm:pt>
    <dgm:pt modelId="{DFD4FBBA-1501-485B-8E5B-D417DA532BB4}" type="pres">
      <dgm:prSet presAssocID="{A2C1A815-43F6-4C18-AF71-C00C5D981EDE}" presName="linNode" presStyleCnt="0"/>
      <dgm:spPr/>
    </dgm:pt>
    <dgm:pt modelId="{9CD66F17-BCE1-42F5-9936-9A6D2464FD13}" type="pres">
      <dgm:prSet presAssocID="{A2C1A815-43F6-4C18-AF71-C00C5D981EDE}" presName="parentShp" presStyleLbl="node1" presStyleIdx="1" presStyleCnt="3" custScaleY="51281" custLinFactNeighborY="165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65ED22F-04F7-4597-ACFC-ECD60E2A6457}" type="pres">
      <dgm:prSet presAssocID="{A2C1A815-43F6-4C18-AF71-C00C5D981EDE}" presName="childShp" presStyleLbl="bgAccFollowNode1" presStyleIdx="1" presStyleCnt="3" custScaleY="78126" custLinFactNeighborX="0" custLinFactNeighborY="54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584A725-AE12-403C-AE0F-ED64496F0EDA}" type="pres">
      <dgm:prSet presAssocID="{ECC6331D-D1A6-4E07-B080-9BD76FB28E6E}" presName="spacing" presStyleCnt="0"/>
      <dgm:spPr/>
    </dgm:pt>
    <dgm:pt modelId="{50622BD6-D5F5-4051-813A-330DDCFB6353}" type="pres">
      <dgm:prSet presAssocID="{736DC3B1-0061-40FE-8E78-0EF7DEB2EE81}" presName="linNode" presStyleCnt="0"/>
      <dgm:spPr/>
    </dgm:pt>
    <dgm:pt modelId="{C6145357-8FAF-4020-9E7C-5FA7BCD99A04}" type="pres">
      <dgm:prSet presAssocID="{736DC3B1-0061-40FE-8E78-0EF7DEB2EE81}" presName="parentShp" presStyleLbl="node1" presStyleIdx="2" presStyleCnt="3" custScaleY="46826" custLinFactNeighborY="-87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0129EC5-8428-412B-809C-1AD7B8E8DC1C}" type="pres">
      <dgm:prSet presAssocID="{736DC3B1-0061-40FE-8E78-0EF7DEB2EE81}" presName="childShp" presStyleLbl="bgAccFollowNode1" presStyleIdx="2" presStyleCnt="3" custScaleY="65832" custLinFactNeighborX="0" custLinFactNeighborY="17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72A6F62-6B93-4C24-A0AD-44C82B65BFF1}" srcId="{B85FEB6E-7E98-4C99-A81A-29FAECAE73CA}" destId="{39ABAACE-65DC-47A3-8D9D-8CC891A8B244}" srcOrd="3" destOrd="0" parTransId="{8AE01B49-218C-4B90-BAA2-453FFE46B8B3}" sibTransId="{9804A616-54E0-4C3A-9995-7DE7883659AD}"/>
    <dgm:cxn modelId="{168A87C5-BC96-42CD-8B93-C4CF51328DB1}" type="presOf" srcId="{253B94B7-E5EC-4997-90CA-02B2F1DB4A4F}" destId="{665ED22F-04F7-4597-ACFC-ECD60E2A6457}" srcOrd="0" destOrd="0" presId="urn:microsoft.com/office/officeart/2005/8/layout/vList6"/>
    <dgm:cxn modelId="{AFF6C905-C693-44AA-B54F-C9CF6B248809}" srcId="{253B94B7-E5EC-4997-90CA-02B2F1DB4A4F}" destId="{A3EDDB60-C187-4687-BDDD-AC62D6996A7C}" srcOrd="1" destOrd="0" parTransId="{17707005-D078-4A13-820D-83A57B46A1EF}" sibTransId="{27469B94-784F-4B03-A48E-985D2C3A5B2B}"/>
    <dgm:cxn modelId="{6B6CD8AC-9DB3-4230-88B8-0367F4355C03}" srcId="{B85FEB6E-7E98-4C99-A81A-29FAECAE73CA}" destId="{9881182C-00EF-46A3-8CFE-4983A52536ED}" srcOrd="1" destOrd="0" parTransId="{D27D7A34-F0AB-4004-BAC7-95C39418E208}" sibTransId="{190F6876-7E3A-411F-B22F-00F97F21E148}"/>
    <dgm:cxn modelId="{01139C78-2240-488D-9DCF-47B9A71A4C39}" type="presOf" srcId="{9881182C-00EF-46A3-8CFE-4983A52536ED}" destId="{5473C7E5-6152-4B5C-ADA9-C24A85B4D387}" srcOrd="0" destOrd="1" presId="urn:microsoft.com/office/officeart/2005/8/layout/vList6"/>
    <dgm:cxn modelId="{380EE0CC-FFDA-4BF2-B337-EA41B6FEC5A5}" srcId="{39ABAACE-65DC-47A3-8D9D-8CC891A8B244}" destId="{464CD9FB-E0F8-4128-BCC4-0FECA1066B46}" srcOrd="0" destOrd="0" parTransId="{746955C4-8774-4C89-BFB6-0653AD894860}" sibTransId="{37C63B3F-CCB9-40A8-B92B-8C77865782C3}"/>
    <dgm:cxn modelId="{F8E49EED-9F73-47F5-9E12-380788BBE85C}" type="presOf" srcId="{A2C1A815-43F6-4C18-AF71-C00C5D981EDE}" destId="{9CD66F17-BCE1-42F5-9936-9A6D2464FD13}" srcOrd="0" destOrd="0" presId="urn:microsoft.com/office/officeart/2005/8/layout/vList6"/>
    <dgm:cxn modelId="{319D9C81-36AB-4640-BC26-AD64CF4975B0}" type="presOf" srcId="{2711BD8E-184B-4608-9D93-6E3B8491A437}" destId="{85E8AFF9-A6AF-4C87-8607-E40B246CE7F2}" srcOrd="0" destOrd="0" presId="urn:microsoft.com/office/officeart/2005/8/layout/vList6"/>
    <dgm:cxn modelId="{BCFAF7C1-955F-4952-8F86-35E29BDB50F5}" type="presOf" srcId="{32789A72-F8D6-44B3-80FC-408D4ED12EFA}" destId="{5473C7E5-6152-4B5C-ADA9-C24A85B4D387}" srcOrd="0" destOrd="2" presId="urn:microsoft.com/office/officeart/2005/8/layout/vList6"/>
    <dgm:cxn modelId="{073B7EAC-9C17-46A6-8DEB-5ECD1AC3AA9C}" srcId="{2711BD8E-184B-4608-9D93-6E3B8491A437}" destId="{B85FEB6E-7E98-4C99-A81A-29FAECAE73CA}" srcOrd="0" destOrd="0" parTransId="{AEBFAFB2-BD85-4808-A0FE-AF3BC056B34F}" sibTransId="{B96BF0AB-25EC-4636-A948-0ED63A20C34D}"/>
    <dgm:cxn modelId="{7C0B01BF-8830-415E-BDF3-1C886B4F4048}" type="presOf" srcId="{A3EDDB60-C187-4687-BDDD-AC62D6996A7C}" destId="{665ED22F-04F7-4597-ACFC-ECD60E2A6457}" srcOrd="0" destOrd="2" presId="urn:microsoft.com/office/officeart/2005/8/layout/vList6"/>
    <dgm:cxn modelId="{C48B5E8E-4169-4D5C-B67D-ABB727DB3F5D}" srcId="{736DC3B1-0061-40FE-8E78-0EF7DEB2EE81}" destId="{4161626A-D581-4ED1-BB78-E7EFE28F80EA}" srcOrd="1" destOrd="0" parTransId="{80158442-78E9-4A0D-B958-F03AAB73506F}" sibTransId="{FBE92B9F-9E24-4192-87E6-C4CCE03D2A1B}"/>
    <dgm:cxn modelId="{D3D6EE7B-C979-432F-B5E6-C03E1E036266}" srcId="{253B94B7-E5EC-4997-90CA-02B2F1DB4A4F}" destId="{FECFE3FA-1B3A-40A2-B005-4C7824D97AC3}" srcOrd="0" destOrd="0" parTransId="{EB717A60-E96A-4857-B1D5-57FD9271A40E}" sibTransId="{6EA5A837-59FB-4C7D-9530-0AB12A5944FD}"/>
    <dgm:cxn modelId="{397E87F2-0171-4F97-8F4B-226A87F4249C}" srcId="{39ABAACE-65DC-47A3-8D9D-8CC891A8B244}" destId="{906B5AC3-871C-4950-8841-39E3894FBC54}" srcOrd="1" destOrd="0" parTransId="{D1B7B2B9-3A72-46AA-88B5-358C667B959F}" sibTransId="{073F8631-A750-4CC6-B19F-E8D089E82BF4}"/>
    <dgm:cxn modelId="{3B18476C-7690-4538-B1F6-3CF5302E1413}" srcId="{A2C1A815-43F6-4C18-AF71-C00C5D981EDE}" destId="{253B94B7-E5EC-4997-90CA-02B2F1DB4A4F}" srcOrd="0" destOrd="0" parTransId="{0A9C6031-4584-42F5-8A3F-C420F21DF616}" sibTransId="{78396B0D-DDEA-4E37-BB56-094B62838DB7}"/>
    <dgm:cxn modelId="{02D631E3-4C91-4BAB-8682-71891EAD42FB}" srcId="{736DC3B1-0061-40FE-8E78-0EF7DEB2EE81}" destId="{05E97F9D-BCCC-4316-B05B-4240BE4EC45D}" srcOrd="0" destOrd="0" parTransId="{C4DB2E62-0B3A-46CB-BCBA-ADE044B26DA3}" sibTransId="{B37627E3-72F5-4DB5-9938-213EBEE33A09}"/>
    <dgm:cxn modelId="{DCB8BC2F-CEA4-4BA4-87A0-4DD62B26FCDB}" type="presOf" srcId="{FECFE3FA-1B3A-40A2-B005-4C7824D97AC3}" destId="{665ED22F-04F7-4597-ACFC-ECD60E2A6457}" srcOrd="0" destOrd="1" presId="urn:microsoft.com/office/officeart/2005/8/layout/vList6"/>
    <dgm:cxn modelId="{C5BFD361-3BBE-4E92-A63F-0592EC655E98}" type="presOf" srcId="{4161626A-D581-4ED1-BB78-E7EFE28F80EA}" destId="{00129EC5-8428-412B-809C-1AD7B8E8DC1C}" srcOrd="0" destOrd="1" presId="urn:microsoft.com/office/officeart/2005/8/layout/vList6"/>
    <dgm:cxn modelId="{FB2376ED-0522-45F1-9CDC-5A30A88660F6}" srcId="{2711BD8E-184B-4608-9D93-6E3B8491A437}" destId="{A2C1A815-43F6-4C18-AF71-C00C5D981EDE}" srcOrd="1" destOrd="0" parTransId="{1B4C4F86-6071-4DF1-8599-A0301345375D}" sibTransId="{ECC6331D-D1A6-4E07-B080-9BD76FB28E6E}"/>
    <dgm:cxn modelId="{156818FF-9255-40AC-86D7-B5098A7C0D8E}" type="presOf" srcId="{906B5AC3-871C-4950-8841-39E3894FBC54}" destId="{5473C7E5-6152-4B5C-ADA9-C24A85B4D387}" srcOrd="0" destOrd="5" presId="urn:microsoft.com/office/officeart/2005/8/layout/vList6"/>
    <dgm:cxn modelId="{CDD1F9D1-58B5-49B8-B2FB-EB75DBC5646E}" srcId="{736DC3B1-0061-40FE-8E78-0EF7DEB2EE81}" destId="{3C079AE0-14AD-4A6A-A1AB-64B944140E01}" srcOrd="2" destOrd="0" parTransId="{1D62551F-289D-45EB-9BC0-055E19DB35FF}" sibTransId="{243680E8-BFA6-4BF5-B757-B98D0FFE3A5D}"/>
    <dgm:cxn modelId="{43230481-C3B0-4616-BA5D-0A8FFF9A9150}" type="presOf" srcId="{05E97F9D-BCCC-4316-B05B-4240BE4EC45D}" destId="{00129EC5-8428-412B-809C-1AD7B8E8DC1C}" srcOrd="0" destOrd="0" presId="urn:microsoft.com/office/officeart/2005/8/layout/vList6"/>
    <dgm:cxn modelId="{8EF4CDFE-1D3A-4699-BA62-D9A1B08734F6}" srcId="{B85FEB6E-7E98-4C99-A81A-29FAECAE73CA}" destId="{3CBE569B-3DD3-4805-93AE-A6F0E302B41E}" srcOrd="0" destOrd="0" parTransId="{FDEE6C04-8196-434C-A229-50E0E790B6A7}" sibTransId="{29708A7A-D61D-4952-B0E0-CBBA5EA438CE}"/>
    <dgm:cxn modelId="{956F9932-112A-42A4-8D18-C4B09DF635E5}" type="presOf" srcId="{3CBE569B-3DD3-4805-93AE-A6F0E302B41E}" destId="{5473C7E5-6152-4B5C-ADA9-C24A85B4D387}" srcOrd="0" destOrd="0" presId="urn:microsoft.com/office/officeart/2005/8/layout/vList6"/>
    <dgm:cxn modelId="{FBDDACD1-7A14-41FC-81BB-F08F21429C1D}" type="presOf" srcId="{39ABAACE-65DC-47A3-8D9D-8CC891A8B244}" destId="{5473C7E5-6152-4B5C-ADA9-C24A85B4D387}" srcOrd="0" destOrd="3" presId="urn:microsoft.com/office/officeart/2005/8/layout/vList6"/>
    <dgm:cxn modelId="{7BA5DE45-F108-4F8D-939F-4FB0957BC4F4}" type="presOf" srcId="{736DC3B1-0061-40FE-8E78-0EF7DEB2EE81}" destId="{C6145357-8FAF-4020-9E7C-5FA7BCD99A04}" srcOrd="0" destOrd="0" presId="urn:microsoft.com/office/officeart/2005/8/layout/vList6"/>
    <dgm:cxn modelId="{011D4E26-0A3D-487E-B768-93D64E92A876}" type="presOf" srcId="{464CD9FB-E0F8-4128-BCC4-0FECA1066B46}" destId="{5473C7E5-6152-4B5C-ADA9-C24A85B4D387}" srcOrd="0" destOrd="4" presId="urn:microsoft.com/office/officeart/2005/8/layout/vList6"/>
    <dgm:cxn modelId="{7AEEA5D7-2CEF-44D6-8D4D-5B9147814497}" type="presOf" srcId="{3C079AE0-14AD-4A6A-A1AB-64B944140E01}" destId="{00129EC5-8428-412B-809C-1AD7B8E8DC1C}" srcOrd="0" destOrd="2" presId="urn:microsoft.com/office/officeart/2005/8/layout/vList6"/>
    <dgm:cxn modelId="{3CA65D24-AF93-4046-A4B9-1E630A89B5D8}" type="presOf" srcId="{B85FEB6E-7E98-4C99-A81A-29FAECAE73CA}" destId="{6010A0B6-F6DE-4A89-9D9A-BC6C151DDBA2}" srcOrd="0" destOrd="0" presId="urn:microsoft.com/office/officeart/2005/8/layout/vList6"/>
    <dgm:cxn modelId="{B5FC1B0E-6239-470A-AD0C-9121AFFF1525}" srcId="{B85FEB6E-7E98-4C99-A81A-29FAECAE73CA}" destId="{32789A72-F8D6-44B3-80FC-408D4ED12EFA}" srcOrd="2" destOrd="0" parTransId="{BCBB3C14-6FF6-4505-AAB7-C53262C3BFA4}" sibTransId="{AE42001C-0153-4002-952C-53D34D52D7D1}"/>
    <dgm:cxn modelId="{C1563AEE-FC5A-4745-8C95-D2B7C806BB79}" srcId="{2711BD8E-184B-4608-9D93-6E3B8491A437}" destId="{736DC3B1-0061-40FE-8E78-0EF7DEB2EE81}" srcOrd="2" destOrd="0" parTransId="{779F43AE-C370-4F73-8076-9005C602579B}" sibTransId="{DC1F2823-5489-4DDF-B0BE-2569C337366C}"/>
    <dgm:cxn modelId="{32BA0031-0AF8-4D07-9B30-0C1AF2D423ED}" type="presParOf" srcId="{85E8AFF9-A6AF-4C87-8607-E40B246CE7F2}" destId="{2876B27F-FEF3-488C-83DE-11833D8FC1DC}" srcOrd="0" destOrd="0" presId="urn:microsoft.com/office/officeart/2005/8/layout/vList6"/>
    <dgm:cxn modelId="{5277ACB0-1E91-48CD-9669-BDDFD918AEDE}" type="presParOf" srcId="{2876B27F-FEF3-488C-83DE-11833D8FC1DC}" destId="{6010A0B6-F6DE-4A89-9D9A-BC6C151DDBA2}" srcOrd="0" destOrd="0" presId="urn:microsoft.com/office/officeart/2005/8/layout/vList6"/>
    <dgm:cxn modelId="{AD4FA64F-7ED6-45F4-ADBD-466B3CE41EB0}" type="presParOf" srcId="{2876B27F-FEF3-488C-83DE-11833D8FC1DC}" destId="{5473C7E5-6152-4B5C-ADA9-C24A85B4D387}" srcOrd="1" destOrd="0" presId="urn:microsoft.com/office/officeart/2005/8/layout/vList6"/>
    <dgm:cxn modelId="{E68166F5-6B6C-44E4-BC04-F6FE4427705B}" type="presParOf" srcId="{85E8AFF9-A6AF-4C87-8607-E40B246CE7F2}" destId="{47978BB9-D490-4734-BEB6-36621A12A1A1}" srcOrd="1" destOrd="0" presId="urn:microsoft.com/office/officeart/2005/8/layout/vList6"/>
    <dgm:cxn modelId="{ED579D40-7084-47ED-809B-F9FC2E1F3FAB}" type="presParOf" srcId="{85E8AFF9-A6AF-4C87-8607-E40B246CE7F2}" destId="{DFD4FBBA-1501-485B-8E5B-D417DA532BB4}" srcOrd="2" destOrd="0" presId="urn:microsoft.com/office/officeart/2005/8/layout/vList6"/>
    <dgm:cxn modelId="{452F3F3B-6E71-4E5A-A859-1F5F2F307C2F}" type="presParOf" srcId="{DFD4FBBA-1501-485B-8E5B-D417DA532BB4}" destId="{9CD66F17-BCE1-42F5-9936-9A6D2464FD13}" srcOrd="0" destOrd="0" presId="urn:microsoft.com/office/officeart/2005/8/layout/vList6"/>
    <dgm:cxn modelId="{0A2817EB-20AA-454B-83CE-47D20DCA36C6}" type="presParOf" srcId="{DFD4FBBA-1501-485B-8E5B-D417DA532BB4}" destId="{665ED22F-04F7-4597-ACFC-ECD60E2A6457}" srcOrd="1" destOrd="0" presId="urn:microsoft.com/office/officeart/2005/8/layout/vList6"/>
    <dgm:cxn modelId="{D0E8085A-B2AB-4A87-9017-C54AFCBED021}" type="presParOf" srcId="{85E8AFF9-A6AF-4C87-8607-E40B246CE7F2}" destId="{6584A725-AE12-403C-AE0F-ED64496F0EDA}" srcOrd="3" destOrd="0" presId="urn:microsoft.com/office/officeart/2005/8/layout/vList6"/>
    <dgm:cxn modelId="{52BB0ACF-FE20-47A8-9D0D-86344FDA150F}" type="presParOf" srcId="{85E8AFF9-A6AF-4C87-8607-E40B246CE7F2}" destId="{50622BD6-D5F5-4051-813A-330DDCFB6353}" srcOrd="4" destOrd="0" presId="urn:microsoft.com/office/officeart/2005/8/layout/vList6"/>
    <dgm:cxn modelId="{E9ECCADE-D0A4-4F82-8B79-6FBCB4010BE9}" type="presParOf" srcId="{50622BD6-D5F5-4051-813A-330DDCFB6353}" destId="{C6145357-8FAF-4020-9E7C-5FA7BCD99A04}" srcOrd="0" destOrd="0" presId="urn:microsoft.com/office/officeart/2005/8/layout/vList6"/>
    <dgm:cxn modelId="{D9871AF9-12CF-4064-9FA7-A683A8E3177B}" type="presParOf" srcId="{50622BD6-D5F5-4051-813A-330DDCFB6353}" destId="{00129EC5-8428-412B-809C-1AD7B8E8DC1C}" srcOrd="1" destOrd="0" presId="urn:microsoft.com/office/officeart/2005/8/layout/vList6"/>
  </dgm:cxnLst>
  <dgm:bg>
    <a:solidFill>
      <a:schemeClr val="accent5">
        <a:lumMod val="40000"/>
        <a:lumOff val="60000"/>
      </a:schemeClr>
    </a:solidFill>
  </dgm:bg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1E19DD-F797-41B8-8914-D8852296ECC3}">
      <dsp:nvSpPr>
        <dsp:cNvPr id="0" name=""/>
        <dsp:cNvSpPr/>
      </dsp:nvSpPr>
      <dsp:spPr>
        <a:xfrm>
          <a:off x="6" y="1090146"/>
          <a:ext cx="1634068" cy="552691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200" kern="1200">
              <a:latin typeface="Times New Roman" pitchFamily="18" charset="0"/>
              <a:cs typeface="Times New Roman" pitchFamily="18" charset="0"/>
            </a:rPr>
            <a:t>ЕКОНОМСКИ </a:t>
          </a:r>
          <a:r>
            <a:rPr lang="sr-Cyrl-CS" sz="1100" kern="1200">
              <a:latin typeface="Times New Roman" pitchFamily="18" charset="0"/>
              <a:cs typeface="Times New Roman" pitchFamily="18" charset="0"/>
            </a:rPr>
            <a:t>ПОСЛОВИ</a:t>
          </a:r>
          <a:r>
            <a:rPr lang="sr-Cyrl-CS" sz="1200" kern="1200">
              <a:latin typeface="Times New Roman" pitchFamily="18" charset="0"/>
              <a:cs typeface="Times New Roman" pitchFamily="18" charset="0"/>
            </a:rPr>
            <a:t>      86</a:t>
          </a:r>
          <a:r>
            <a:rPr lang="sr-Cyrl-RS" sz="1200" kern="1200">
              <a:latin typeface="Times New Roman" pitchFamily="18" charset="0"/>
              <a:cs typeface="Times New Roman" pitchFamily="18" charset="0"/>
            </a:rPr>
            <a:t>,900</a:t>
          </a:r>
          <a:r>
            <a:rPr lang="sr-Cyrl-CS" sz="1200" kern="1200">
              <a:latin typeface="Times New Roman" pitchFamily="18" charset="0"/>
              <a:cs typeface="Times New Roman" pitchFamily="18" charset="0"/>
            </a:rPr>
            <a:t>.000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</dsp:txBody>
      <dsp:txXfrm>
        <a:off x="16194" y="1106334"/>
        <a:ext cx="1601692" cy="520315"/>
      </dsp:txXfrm>
    </dsp:sp>
    <dsp:sp modelId="{E1413BB5-ECF9-4EAB-871C-E46CB1F2C528}">
      <dsp:nvSpPr>
        <dsp:cNvPr id="0" name=""/>
        <dsp:cNvSpPr/>
      </dsp:nvSpPr>
      <dsp:spPr>
        <a:xfrm rot="18325549">
          <a:off x="1541764" y="1176558"/>
          <a:ext cx="439206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439206" y="109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50387" y="1176564"/>
        <a:ext cx="21960" cy="21960"/>
      </dsp:txXfrm>
    </dsp:sp>
    <dsp:sp modelId="{4BCD5DFD-210B-4991-BB85-C69C0220A2A2}">
      <dsp:nvSpPr>
        <dsp:cNvPr id="0" name=""/>
        <dsp:cNvSpPr/>
      </dsp:nvSpPr>
      <dsp:spPr>
        <a:xfrm>
          <a:off x="1888660" y="779504"/>
          <a:ext cx="1204741" cy="458185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200" kern="1200"/>
            <a:t>ПОЉОПРИВРЕДА </a:t>
          </a:r>
          <a:r>
            <a:rPr lang="sr-Cyrl-RS" sz="1200" kern="1200"/>
            <a:t>2,70</a:t>
          </a:r>
          <a:r>
            <a:rPr lang="sr-Cyrl-CS" sz="1200" kern="1200"/>
            <a:t>0.000</a:t>
          </a:r>
          <a:endParaRPr lang="en-US" sz="1200" kern="1200"/>
        </a:p>
      </dsp:txBody>
      <dsp:txXfrm>
        <a:off x="1902080" y="792924"/>
        <a:ext cx="1177901" cy="431345"/>
      </dsp:txXfrm>
    </dsp:sp>
    <dsp:sp modelId="{AB628F05-23D0-4840-92C3-6D64685CBCB0}">
      <dsp:nvSpPr>
        <dsp:cNvPr id="0" name=""/>
        <dsp:cNvSpPr/>
      </dsp:nvSpPr>
      <dsp:spPr>
        <a:xfrm rot="17621354">
          <a:off x="2900398" y="702168"/>
          <a:ext cx="645254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645254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06894" y="697024"/>
        <a:ext cx="32262" cy="32262"/>
      </dsp:txXfrm>
    </dsp:sp>
    <dsp:sp modelId="{6F12F753-1B70-48E7-BC1E-DCE1CD75750E}">
      <dsp:nvSpPr>
        <dsp:cNvPr id="0" name=""/>
        <dsp:cNvSpPr/>
      </dsp:nvSpPr>
      <dsp:spPr>
        <a:xfrm>
          <a:off x="3352649" y="311933"/>
          <a:ext cx="1631131" cy="211560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Сајмови и едукације </a:t>
          </a:r>
          <a:r>
            <a:rPr lang="sr-Cyrl-RS" sz="1000" kern="1200"/>
            <a:t>5</a:t>
          </a:r>
          <a:r>
            <a:rPr lang="sr-Cyrl-CS" sz="1000" kern="1200"/>
            <a:t>00,000, </a:t>
          </a:r>
          <a:endParaRPr lang="en-US" sz="1000" kern="1200"/>
        </a:p>
      </dsp:txBody>
      <dsp:txXfrm>
        <a:off x="3358845" y="318129"/>
        <a:ext cx="1618739" cy="199168"/>
      </dsp:txXfrm>
    </dsp:sp>
    <dsp:sp modelId="{A76CC29B-60FA-4B11-9AA8-D9385653FAC7}">
      <dsp:nvSpPr>
        <dsp:cNvPr id="0" name=""/>
        <dsp:cNvSpPr/>
      </dsp:nvSpPr>
      <dsp:spPr>
        <a:xfrm rot="18482828">
          <a:off x="3015265" y="837241"/>
          <a:ext cx="407286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407286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08727" y="838045"/>
        <a:ext cx="20364" cy="20364"/>
      </dsp:txXfrm>
    </dsp:sp>
    <dsp:sp modelId="{FEC09923-C649-40DC-8C0D-E7571D54DB2B}">
      <dsp:nvSpPr>
        <dsp:cNvPr id="0" name=""/>
        <dsp:cNvSpPr/>
      </dsp:nvSpPr>
      <dsp:spPr>
        <a:xfrm>
          <a:off x="3344416" y="570402"/>
          <a:ext cx="1664194" cy="23490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Накнада за стрелце </a:t>
          </a:r>
          <a:r>
            <a:rPr lang="sr-Cyrl-RS" sz="1000" kern="1200"/>
            <a:t>1,2</a:t>
          </a:r>
          <a:r>
            <a:rPr lang="sr-Cyrl-CS" sz="1000" kern="1200"/>
            <a:t>00.000</a:t>
          </a:r>
          <a:endParaRPr lang="en-US" sz="1000" kern="1200"/>
        </a:p>
      </dsp:txBody>
      <dsp:txXfrm>
        <a:off x="3351296" y="577282"/>
        <a:ext cx="1650434" cy="221149"/>
      </dsp:txXfrm>
    </dsp:sp>
    <dsp:sp modelId="{C8C754D1-3190-4196-9E3C-2975EEDC1686}">
      <dsp:nvSpPr>
        <dsp:cNvPr id="0" name=""/>
        <dsp:cNvSpPr/>
      </dsp:nvSpPr>
      <dsp:spPr>
        <a:xfrm rot="21239055">
          <a:off x="3092706" y="984384"/>
          <a:ext cx="252404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252404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12599" y="989061"/>
        <a:ext cx="12620" cy="12620"/>
      </dsp:txXfrm>
    </dsp:sp>
    <dsp:sp modelId="{7FD3C2FD-0827-4417-8B3F-32E3A7B62F9A}">
      <dsp:nvSpPr>
        <dsp:cNvPr id="0" name=""/>
        <dsp:cNvSpPr/>
      </dsp:nvSpPr>
      <dsp:spPr>
        <a:xfrm>
          <a:off x="3344416" y="827620"/>
          <a:ext cx="1680905" cy="30904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противградна заштита 1,</a:t>
          </a:r>
          <a:r>
            <a:rPr lang="sr-Cyrl-RS" sz="1000" kern="1200"/>
            <a:t>0</a:t>
          </a:r>
          <a:r>
            <a:rPr lang="sr-Cyrl-CS" sz="1000" kern="1200"/>
            <a:t>00.000</a:t>
          </a:r>
          <a:endParaRPr lang="en-US" sz="1000" kern="1200"/>
        </a:p>
      </dsp:txBody>
      <dsp:txXfrm>
        <a:off x="3353468" y="836672"/>
        <a:ext cx="1662801" cy="290945"/>
      </dsp:txXfrm>
    </dsp:sp>
    <dsp:sp modelId="{9957AF33-0ACA-4C63-B9D1-09075220B3A1}">
      <dsp:nvSpPr>
        <dsp:cNvPr id="0" name=""/>
        <dsp:cNvSpPr/>
      </dsp:nvSpPr>
      <dsp:spPr>
        <a:xfrm rot="4207042">
          <a:off x="1395099" y="1696055"/>
          <a:ext cx="724272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724272" y="109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39128" y="1688935"/>
        <a:ext cx="36213" cy="36213"/>
      </dsp:txXfrm>
    </dsp:sp>
    <dsp:sp modelId="{B7EFD91A-52F1-47CC-AD3E-68729CBED000}">
      <dsp:nvSpPr>
        <dsp:cNvPr id="0" name=""/>
        <dsp:cNvSpPr/>
      </dsp:nvSpPr>
      <dsp:spPr>
        <a:xfrm>
          <a:off x="1880396" y="1745863"/>
          <a:ext cx="1267686" cy="603456"/>
        </a:xfrm>
        <a:prstGeom prst="roundRect">
          <a:avLst>
            <a:gd name="adj" fmla="val 10000"/>
          </a:avLst>
        </a:prstGeom>
        <a:solidFill>
          <a:srgbClr val="A4653E"/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200" kern="1200"/>
            <a:t>ДРУМСКИ САОБРАЋАЈ </a:t>
          </a:r>
          <a:r>
            <a:rPr lang="sr-Cyrl-RS" sz="1200" kern="1200"/>
            <a:t>76,600</a:t>
          </a:r>
          <a:r>
            <a:rPr lang="sr-Cyrl-CS" sz="1200" kern="1200"/>
            <a:t>.000</a:t>
          </a:r>
          <a:endParaRPr lang="en-US" sz="1200" kern="1200"/>
        </a:p>
      </dsp:txBody>
      <dsp:txXfrm>
        <a:off x="1898071" y="1763538"/>
        <a:ext cx="1232336" cy="568106"/>
      </dsp:txXfrm>
    </dsp:sp>
    <dsp:sp modelId="{3B966FDE-C666-4EE6-A168-31D89CFA9324}">
      <dsp:nvSpPr>
        <dsp:cNvPr id="0" name=""/>
        <dsp:cNvSpPr/>
      </dsp:nvSpPr>
      <dsp:spPr>
        <a:xfrm rot="1594145">
          <a:off x="3137548" y="2081220"/>
          <a:ext cx="199499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199499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32310" y="2087219"/>
        <a:ext cx="9974" cy="9974"/>
      </dsp:txXfrm>
    </dsp:sp>
    <dsp:sp modelId="{4A4F9484-D2EC-495B-AC52-82DA9C69DE06}">
      <dsp:nvSpPr>
        <dsp:cNvPr id="0" name=""/>
        <dsp:cNvSpPr/>
      </dsp:nvSpPr>
      <dsp:spPr>
        <a:xfrm>
          <a:off x="3326514" y="1932604"/>
          <a:ext cx="1667275" cy="408437"/>
        </a:xfrm>
        <a:prstGeom prst="roundRect">
          <a:avLst>
            <a:gd name="adj" fmla="val 10000"/>
          </a:avLst>
        </a:prstGeom>
        <a:solidFill>
          <a:srgbClr val="C76B33"/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ПУТНА ИНФРАСТРУКТУРА</a:t>
          </a:r>
          <a:endParaRPr lang="en-US" sz="1000" kern="1200"/>
        </a:p>
      </dsp:txBody>
      <dsp:txXfrm>
        <a:off x="3338477" y="1944567"/>
        <a:ext cx="1643349" cy="384511"/>
      </dsp:txXfrm>
    </dsp:sp>
  </dsp:spTree>
</dsp:drawing>
</file>

<file path=word/diagrams/drawing1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742285-7D07-40B4-95AF-BFF535638D25}">
      <dsp:nvSpPr>
        <dsp:cNvPr id="0" name=""/>
        <dsp:cNvSpPr/>
      </dsp:nvSpPr>
      <dsp:spPr>
        <a:xfrm>
          <a:off x="499009" y="200382"/>
          <a:ext cx="3797643" cy="3396877"/>
        </a:xfrm>
        <a:prstGeom prst="triangle">
          <a:avLst/>
        </a:prstGeom>
        <a:solidFill>
          <a:srgbClr val="FFFF00"/>
        </a:solidFill>
        <a:ln>
          <a:noFill/>
        </a:ln>
        <a:effectLst>
          <a:outerShdw blurRad="57150" dist="38100" dir="5400000" algn="ctr" rotWithShape="0">
            <a:schemeClr val="accent3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22CE69-37B4-42B8-A969-4C14C30792DA}">
      <dsp:nvSpPr>
        <dsp:cNvPr id="0" name=""/>
        <dsp:cNvSpPr/>
      </dsp:nvSpPr>
      <dsp:spPr>
        <a:xfrm>
          <a:off x="2045123" y="379893"/>
          <a:ext cx="3173882" cy="511442"/>
        </a:xfrm>
        <a:prstGeom prst="roundRect">
          <a:avLst/>
        </a:prstGeom>
        <a:gradFill flip="none" rotWithShape="1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kern="1200"/>
            <a:t>Израда пројектне документације у циљу изградње  и реконструкције саобраћајница 1,40</a:t>
          </a:r>
          <a:r>
            <a:rPr lang="sr-Cyrl-RS" sz="1050" kern="1200"/>
            <a:t>0</a:t>
          </a:r>
          <a:r>
            <a:rPr lang="sr-Cyrl-CS" sz="1050" kern="1200"/>
            <a:t>.000</a:t>
          </a:r>
          <a:endParaRPr lang="en-US" sz="1050" kern="1200"/>
        </a:p>
      </dsp:txBody>
      <dsp:txXfrm>
        <a:off x="2070090" y="404860"/>
        <a:ext cx="3123948" cy="461508"/>
      </dsp:txXfrm>
    </dsp:sp>
    <dsp:sp modelId="{CFA9F3C3-3FA6-463B-B7FA-7501C343696F}">
      <dsp:nvSpPr>
        <dsp:cNvPr id="0" name=""/>
        <dsp:cNvSpPr/>
      </dsp:nvSpPr>
      <dsp:spPr>
        <a:xfrm>
          <a:off x="2036076" y="999628"/>
          <a:ext cx="3191975" cy="505889"/>
        </a:xfrm>
        <a:prstGeom prst="roundRect">
          <a:avLst/>
        </a:prstGeom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Текуће одржавање локалних саобраћајница </a:t>
          </a:r>
          <a:r>
            <a:rPr lang="sr-Cyrl-RS" sz="1000" kern="1200"/>
            <a:t>46,000,000</a:t>
          </a:r>
          <a:endParaRPr lang="en-US" sz="1000" kern="1200"/>
        </a:p>
      </dsp:txBody>
      <dsp:txXfrm>
        <a:off x="2060771" y="1024323"/>
        <a:ext cx="3142585" cy="456499"/>
      </dsp:txXfrm>
    </dsp:sp>
    <dsp:sp modelId="{AEC9E791-5676-493E-8E9C-9B3520A51F9C}">
      <dsp:nvSpPr>
        <dsp:cNvPr id="0" name=""/>
        <dsp:cNvSpPr/>
      </dsp:nvSpPr>
      <dsp:spPr>
        <a:xfrm>
          <a:off x="2009232" y="1607518"/>
          <a:ext cx="3336109" cy="823583"/>
        </a:xfrm>
        <a:prstGeom prst="roundRect">
          <a:avLst/>
        </a:prstGeom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Изградња и реконструкција локалних путних праваца у сеоским месним заједницама </a:t>
          </a:r>
          <a:r>
            <a:rPr lang="sr-Cyrl-RS" sz="1000" kern="1200"/>
            <a:t>Љутеж, Стубал, Прекодолце, Декутинце,  Сува Морава и Куново</a:t>
          </a:r>
          <a:r>
            <a:rPr lang="sr-Cyrl-CS" sz="1000" kern="1200"/>
            <a:t>...</a:t>
          </a:r>
          <a:r>
            <a:rPr lang="sr-Cyrl-RS" sz="1000" kern="1200"/>
            <a:t>5</a:t>
          </a:r>
          <a:r>
            <a:rPr lang="sr-Cyrl-CS" sz="1000" kern="1200"/>
            <a:t>,</a:t>
          </a:r>
          <a:r>
            <a:rPr lang="sr-Cyrl-RS" sz="1000" kern="1200"/>
            <a:t>6</a:t>
          </a:r>
          <a:r>
            <a:rPr lang="sr-Cyrl-CS" sz="1000" kern="1200"/>
            <a:t>00.000,00 -</a:t>
          </a:r>
          <a:endParaRPr lang="en-US" sz="1000" kern="1200"/>
        </a:p>
      </dsp:txBody>
      <dsp:txXfrm>
        <a:off x="2049436" y="1647722"/>
        <a:ext cx="3255701" cy="743175"/>
      </dsp:txXfrm>
    </dsp:sp>
    <dsp:sp modelId="{6BA0DA2D-796A-4386-81AC-6F309F09E76D}">
      <dsp:nvSpPr>
        <dsp:cNvPr id="0" name=""/>
        <dsp:cNvSpPr/>
      </dsp:nvSpPr>
      <dsp:spPr>
        <a:xfrm>
          <a:off x="1981758" y="2586285"/>
          <a:ext cx="3463383" cy="763771"/>
        </a:xfrm>
        <a:prstGeom prst="roundRect">
          <a:avLst/>
        </a:prstGeom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Изградња, реконструкција и капитално одржавање градских улица -, Боре Станковића</a:t>
          </a:r>
          <a:r>
            <a:rPr lang="en-GB" sz="1000" kern="1200"/>
            <a:t>, </a:t>
          </a:r>
          <a:r>
            <a:rPr lang="sr-Cyrl-RS" sz="1000" kern="1200"/>
            <a:t>Ивана Милутиновића, Јурија Гагарина</a:t>
          </a:r>
          <a:r>
            <a:rPr lang="sr-Cyrl-CS" sz="1000" kern="1200"/>
            <a:t>,...23.000,000</a:t>
          </a:r>
          <a:endParaRPr lang="en-US" sz="1000" kern="1200"/>
        </a:p>
      </dsp:txBody>
      <dsp:txXfrm>
        <a:off x="2019042" y="2623569"/>
        <a:ext cx="3388815" cy="689203"/>
      </dsp:txXfrm>
    </dsp:sp>
  </dsp:spTree>
</dsp:drawing>
</file>

<file path=word/diagrams/drawing1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5456A5-E485-4072-9393-3C59326B3EA9}">
      <dsp:nvSpPr>
        <dsp:cNvPr id="0" name=""/>
        <dsp:cNvSpPr/>
      </dsp:nvSpPr>
      <dsp:spPr>
        <a:xfrm>
          <a:off x="3435280" y="1858778"/>
          <a:ext cx="1762252" cy="32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736"/>
              </a:lnTo>
              <a:lnTo>
                <a:pt x="1762252" y="214736"/>
              </a:lnTo>
              <a:lnTo>
                <a:pt x="1762252" y="3238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D5494A-2B89-4C36-81C6-D94760530235}">
      <dsp:nvSpPr>
        <dsp:cNvPr id="0" name=""/>
        <dsp:cNvSpPr/>
      </dsp:nvSpPr>
      <dsp:spPr>
        <a:xfrm>
          <a:off x="3435280" y="1858778"/>
          <a:ext cx="377296" cy="3249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813"/>
              </a:lnTo>
              <a:lnTo>
                <a:pt x="377296" y="215813"/>
              </a:lnTo>
              <a:lnTo>
                <a:pt x="377296" y="32495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2F7AF6-A975-4D1C-AF06-1BBF78077A68}">
      <dsp:nvSpPr>
        <dsp:cNvPr id="0" name=""/>
        <dsp:cNvSpPr/>
      </dsp:nvSpPr>
      <dsp:spPr>
        <a:xfrm>
          <a:off x="3053574" y="749216"/>
          <a:ext cx="381706" cy="361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278"/>
              </a:lnTo>
              <a:lnTo>
                <a:pt x="381706" y="252278"/>
              </a:lnTo>
              <a:lnTo>
                <a:pt x="381706" y="36142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BE6287-D1DC-4530-8F25-E7D611C19257}">
      <dsp:nvSpPr>
        <dsp:cNvPr id="0" name=""/>
        <dsp:cNvSpPr/>
      </dsp:nvSpPr>
      <dsp:spPr>
        <a:xfrm>
          <a:off x="1597562" y="1840007"/>
          <a:ext cx="719994" cy="3426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507"/>
              </a:lnTo>
              <a:lnTo>
                <a:pt x="719994" y="233507"/>
              </a:lnTo>
              <a:lnTo>
                <a:pt x="719994" y="34265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0D9167-0528-4459-B21A-45C07A050504}">
      <dsp:nvSpPr>
        <dsp:cNvPr id="0" name=""/>
        <dsp:cNvSpPr/>
      </dsp:nvSpPr>
      <dsp:spPr>
        <a:xfrm>
          <a:off x="877568" y="1840007"/>
          <a:ext cx="719994" cy="342651"/>
        </a:xfrm>
        <a:custGeom>
          <a:avLst/>
          <a:gdLst/>
          <a:ahLst/>
          <a:cxnLst/>
          <a:rect l="0" t="0" r="0" b="0"/>
          <a:pathLst>
            <a:path>
              <a:moveTo>
                <a:pt x="719994" y="0"/>
              </a:moveTo>
              <a:lnTo>
                <a:pt x="719994" y="233507"/>
              </a:lnTo>
              <a:lnTo>
                <a:pt x="0" y="233507"/>
              </a:lnTo>
              <a:lnTo>
                <a:pt x="0" y="34265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87B24F-5F64-4733-B6F1-55BFBED70695}">
      <dsp:nvSpPr>
        <dsp:cNvPr id="0" name=""/>
        <dsp:cNvSpPr/>
      </dsp:nvSpPr>
      <dsp:spPr>
        <a:xfrm>
          <a:off x="1597562" y="749216"/>
          <a:ext cx="1456011" cy="342651"/>
        </a:xfrm>
        <a:custGeom>
          <a:avLst/>
          <a:gdLst/>
          <a:ahLst/>
          <a:cxnLst/>
          <a:rect l="0" t="0" r="0" b="0"/>
          <a:pathLst>
            <a:path>
              <a:moveTo>
                <a:pt x="1456011" y="0"/>
              </a:moveTo>
              <a:lnTo>
                <a:pt x="1456011" y="233507"/>
              </a:lnTo>
              <a:lnTo>
                <a:pt x="0" y="233507"/>
              </a:lnTo>
              <a:lnTo>
                <a:pt x="0" y="34265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4DC015-5439-4ED5-8047-ECDF1F481F98}">
      <dsp:nvSpPr>
        <dsp:cNvPr id="0" name=""/>
        <dsp:cNvSpPr/>
      </dsp:nvSpPr>
      <dsp:spPr>
        <a:xfrm>
          <a:off x="2346847" y="1076"/>
          <a:ext cx="1413453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3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3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07561A2-EBA3-4070-9758-EEBEFAD0F3C7}">
      <dsp:nvSpPr>
        <dsp:cNvPr id="0" name=""/>
        <dsp:cNvSpPr/>
      </dsp:nvSpPr>
      <dsp:spPr>
        <a:xfrm>
          <a:off x="2477755" y="125439"/>
          <a:ext cx="1413453" cy="7481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b="1" kern="1200"/>
            <a:t>ЗАШТИТА ЖИВОТНЕ СРЕДИНЕ  77,850.000,00</a:t>
          </a:r>
          <a:endParaRPr lang="en-US" sz="1050" b="1" kern="1200"/>
        </a:p>
      </dsp:txBody>
      <dsp:txXfrm>
        <a:off x="2499667" y="147351"/>
        <a:ext cx="1369629" cy="704315"/>
      </dsp:txXfrm>
    </dsp:sp>
    <dsp:sp modelId="{2F48278F-C110-455A-859B-4AC523A30535}">
      <dsp:nvSpPr>
        <dsp:cNvPr id="0" name=""/>
        <dsp:cNvSpPr/>
      </dsp:nvSpPr>
      <dsp:spPr>
        <a:xfrm>
          <a:off x="797572" y="1091868"/>
          <a:ext cx="1599981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5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5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68929FE-08DE-4414-997E-F1FDAA5BC3E6}">
      <dsp:nvSpPr>
        <dsp:cNvPr id="0" name=""/>
        <dsp:cNvSpPr/>
      </dsp:nvSpPr>
      <dsp:spPr>
        <a:xfrm>
          <a:off x="928480" y="1216230"/>
          <a:ext cx="1599981" cy="748139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  <a:alpha val="9000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одржавање и уређење јавних површина 58,000.000</a:t>
          </a:r>
          <a:endParaRPr lang="en-US" sz="1100" kern="1200"/>
        </a:p>
      </dsp:txBody>
      <dsp:txXfrm>
        <a:off x="950392" y="1238142"/>
        <a:ext cx="1556157" cy="704315"/>
      </dsp:txXfrm>
    </dsp:sp>
    <dsp:sp modelId="{00B98D40-A021-4D30-BED0-B3B34D7F50EE}">
      <dsp:nvSpPr>
        <dsp:cNvPr id="0" name=""/>
        <dsp:cNvSpPr/>
      </dsp:nvSpPr>
      <dsp:spPr>
        <a:xfrm>
          <a:off x="288482" y="2182659"/>
          <a:ext cx="1178172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6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6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5BEF2CF-8B64-4320-BE05-F52C508DEA47}">
      <dsp:nvSpPr>
        <dsp:cNvPr id="0" name=""/>
        <dsp:cNvSpPr/>
      </dsp:nvSpPr>
      <dsp:spPr>
        <a:xfrm>
          <a:off x="419390" y="2307021"/>
          <a:ext cx="1178172" cy="74813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kern="1200"/>
            <a:t>одржавање јавних површина 31,000.000</a:t>
          </a:r>
          <a:endParaRPr lang="en-US" sz="1050" kern="1200"/>
        </a:p>
      </dsp:txBody>
      <dsp:txXfrm>
        <a:off x="441302" y="2328933"/>
        <a:ext cx="1134348" cy="704315"/>
      </dsp:txXfrm>
    </dsp:sp>
    <dsp:sp modelId="{72B565E4-BD8D-45C0-86B6-00576B1D7904}">
      <dsp:nvSpPr>
        <dsp:cNvPr id="0" name=""/>
        <dsp:cNvSpPr/>
      </dsp:nvSpPr>
      <dsp:spPr>
        <a:xfrm>
          <a:off x="1728470" y="2182659"/>
          <a:ext cx="1178172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6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6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222670B-6C17-4CDD-B8E5-7F0A24715746}">
      <dsp:nvSpPr>
        <dsp:cNvPr id="0" name=""/>
        <dsp:cNvSpPr/>
      </dsp:nvSpPr>
      <dsp:spPr>
        <a:xfrm>
          <a:off x="1859378" y="2307021"/>
          <a:ext cx="1178172" cy="74813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kern="1200"/>
            <a:t>одржавање зелених површина 27,000.000</a:t>
          </a:r>
          <a:endParaRPr lang="en-US" sz="1050" kern="1200"/>
        </a:p>
      </dsp:txBody>
      <dsp:txXfrm>
        <a:off x="1881290" y="2328933"/>
        <a:ext cx="1134348" cy="704315"/>
      </dsp:txXfrm>
    </dsp:sp>
    <dsp:sp modelId="{B16985E6-AB8C-479A-B52B-E1CE68BB2929}">
      <dsp:nvSpPr>
        <dsp:cNvPr id="0" name=""/>
        <dsp:cNvSpPr/>
      </dsp:nvSpPr>
      <dsp:spPr>
        <a:xfrm>
          <a:off x="2603243" y="1110638"/>
          <a:ext cx="1664073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5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5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3AAF95E-FF99-4F60-A42F-B5A4B28D052E}">
      <dsp:nvSpPr>
        <dsp:cNvPr id="0" name=""/>
        <dsp:cNvSpPr/>
      </dsp:nvSpPr>
      <dsp:spPr>
        <a:xfrm>
          <a:off x="2734152" y="1235001"/>
          <a:ext cx="1664073" cy="748139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  <a:alpha val="9000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Буџетски фонд за заштиту и унапређење животне средине 19,850.000</a:t>
          </a:r>
          <a:endParaRPr lang="en-US" sz="1100" kern="1200"/>
        </a:p>
      </dsp:txBody>
      <dsp:txXfrm>
        <a:off x="2756064" y="1256913"/>
        <a:ext cx="1620249" cy="704315"/>
      </dsp:txXfrm>
    </dsp:sp>
    <dsp:sp modelId="{9ACCE9A4-5C38-437D-B67D-03DE0C0292E9}">
      <dsp:nvSpPr>
        <dsp:cNvPr id="0" name=""/>
        <dsp:cNvSpPr/>
      </dsp:nvSpPr>
      <dsp:spPr>
        <a:xfrm>
          <a:off x="3223491" y="2183736"/>
          <a:ext cx="1178172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6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6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6C86960-B1CB-4806-A493-715AAE280A6F}">
      <dsp:nvSpPr>
        <dsp:cNvPr id="0" name=""/>
        <dsp:cNvSpPr/>
      </dsp:nvSpPr>
      <dsp:spPr>
        <a:xfrm>
          <a:off x="3354399" y="2308098"/>
          <a:ext cx="1178172" cy="74813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kern="1200"/>
            <a:t>управљање отпадним водама </a:t>
          </a:r>
          <a:r>
            <a:rPr lang="sr-Cyrl-RS" sz="1050" kern="1200"/>
            <a:t>15,5</a:t>
          </a:r>
          <a:r>
            <a:rPr lang="sr-Cyrl-CS" sz="1050" kern="1200"/>
            <a:t>00.000</a:t>
          </a:r>
          <a:endParaRPr lang="en-US" sz="1050" kern="1200"/>
        </a:p>
      </dsp:txBody>
      <dsp:txXfrm>
        <a:off x="3376311" y="2330010"/>
        <a:ext cx="1134348" cy="704315"/>
      </dsp:txXfrm>
    </dsp:sp>
    <dsp:sp modelId="{8A8776D3-5299-457A-B708-B253C9CD692D}">
      <dsp:nvSpPr>
        <dsp:cNvPr id="0" name=""/>
        <dsp:cNvSpPr/>
      </dsp:nvSpPr>
      <dsp:spPr>
        <a:xfrm>
          <a:off x="4608447" y="2182659"/>
          <a:ext cx="1178172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6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6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F41AA01-1AE7-44EF-9727-52710969A74A}">
      <dsp:nvSpPr>
        <dsp:cNvPr id="0" name=""/>
        <dsp:cNvSpPr/>
      </dsp:nvSpPr>
      <dsp:spPr>
        <a:xfrm>
          <a:off x="4739355" y="2307021"/>
          <a:ext cx="1178172" cy="74813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Зоохигијена</a:t>
          </a:r>
          <a:r>
            <a:rPr lang="sr-Cyrl-RS" sz="1050" kern="1200"/>
            <a:t> и контрола ваздуха</a:t>
          </a:r>
          <a:r>
            <a:rPr lang="en-US" sz="1050" kern="1200"/>
            <a:t> </a:t>
          </a:r>
          <a:r>
            <a:rPr lang="sr-Cyrl-RS" sz="1050" kern="1200"/>
            <a:t>4,35</a:t>
          </a:r>
          <a:r>
            <a:rPr lang="en-US" sz="1050" kern="1200"/>
            <a:t>0.000</a:t>
          </a:r>
        </a:p>
      </dsp:txBody>
      <dsp:txXfrm>
        <a:off x="4761267" y="2328933"/>
        <a:ext cx="1134348" cy="704315"/>
      </dsp:txXfrm>
    </dsp:sp>
  </dsp:spTree>
</dsp:drawing>
</file>

<file path=word/diagrams/drawing1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9B47A0-21DC-4D44-A52E-7587ACE6F3CE}">
      <dsp:nvSpPr>
        <dsp:cNvPr id="0" name=""/>
        <dsp:cNvSpPr/>
      </dsp:nvSpPr>
      <dsp:spPr>
        <a:xfrm rot="5400000">
          <a:off x="3378389" y="-1336639"/>
          <a:ext cx="721880" cy="351936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Субвенције ЈП Водовод                           21,000.000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Одржавање водоводне мреже               5,000.000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100" kern="1200"/>
            <a:t>Директне инвестиције у вод. мрежу    4,000.000</a:t>
          </a:r>
          <a:endParaRPr lang="en-US" sz="1100" kern="1200"/>
        </a:p>
      </dsp:txBody>
      <dsp:txXfrm rot="-5400000">
        <a:off x="1979646" y="97343"/>
        <a:ext cx="3484129" cy="651402"/>
      </dsp:txXfrm>
    </dsp:sp>
    <dsp:sp modelId="{EB6CEC48-2241-432D-8F6C-B7CF163E14E3}">
      <dsp:nvSpPr>
        <dsp:cNvPr id="0" name=""/>
        <dsp:cNvSpPr/>
      </dsp:nvSpPr>
      <dsp:spPr>
        <a:xfrm>
          <a:off x="0" y="86943"/>
          <a:ext cx="1979645" cy="672202"/>
        </a:xfrm>
        <a:prstGeom prst="round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ВОДОСНАБДЕВАЊЕ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30,000.000,00</a:t>
          </a:r>
          <a:endParaRPr lang="en-US" sz="1100" kern="1200"/>
        </a:p>
      </dsp:txBody>
      <dsp:txXfrm>
        <a:off x="32814" y="119757"/>
        <a:ext cx="1914017" cy="606574"/>
      </dsp:txXfrm>
    </dsp:sp>
    <dsp:sp modelId="{8950AB56-738B-4221-A75B-13FBE258A4E0}">
      <dsp:nvSpPr>
        <dsp:cNvPr id="0" name=""/>
        <dsp:cNvSpPr/>
      </dsp:nvSpPr>
      <dsp:spPr>
        <a:xfrm rot="5400000">
          <a:off x="3318933" y="-412104"/>
          <a:ext cx="840792" cy="351936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одржавање постојећег система         13,200,000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100" kern="1200"/>
            <a:t>Трошкови струје за јавну расвету      16,000.000</a:t>
          </a:r>
          <a:endParaRPr lang="en-US" sz="1100" kern="1200"/>
        </a:p>
      </dsp:txBody>
      <dsp:txXfrm rot="-5400000">
        <a:off x="1979645" y="968228"/>
        <a:ext cx="3478324" cy="758704"/>
      </dsp:txXfrm>
    </dsp:sp>
    <dsp:sp modelId="{7270D55D-FC74-45B0-B91B-18B91256D0ED}">
      <dsp:nvSpPr>
        <dsp:cNvPr id="0" name=""/>
        <dsp:cNvSpPr/>
      </dsp:nvSpPr>
      <dsp:spPr>
        <a:xfrm>
          <a:off x="0" y="902776"/>
          <a:ext cx="1979645" cy="705509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ОПШТИНСКА УПРАВА  ЈАВНА РАСВЕТА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29,200.000,00</a:t>
          </a:r>
          <a:endParaRPr lang="en-US" sz="1100" kern="1200"/>
        </a:p>
      </dsp:txBody>
      <dsp:txXfrm>
        <a:off x="34440" y="937216"/>
        <a:ext cx="1910765" cy="636629"/>
      </dsp:txXfrm>
    </dsp:sp>
    <dsp:sp modelId="{11133094-80A6-4719-A2BA-C38660F2C1EE}">
      <dsp:nvSpPr>
        <dsp:cNvPr id="0" name=""/>
        <dsp:cNvSpPr/>
      </dsp:nvSpPr>
      <dsp:spPr>
        <a:xfrm rot="5400000">
          <a:off x="3292584" y="598234"/>
          <a:ext cx="893489" cy="351936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50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50" kern="1200">
              <a:solidFill>
                <a:sysClr val="windowText" lastClr="000000"/>
              </a:solidFill>
            </a:rPr>
            <a:t> Чланарине у развојне агенције и  СКГО  1,000.000</a:t>
          </a:r>
          <a:endParaRPr lang="en-US" sz="1050" kern="1200">
            <a:solidFill>
              <a:sysClr val="windowText" lastClr="000000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50" kern="1200">
              <a:solidFill>
                <a:sysClr val="windowText" lastClr="000000"/>
              </a:solidFill>
            </a:rPr>
            <a:t>Субвенције приватним предузећима 1,500,000</a:t>
          </a:r>
          <a:endParaRPr lang="en-US" sz="1050" kern="1200">
            <a:solidFill>
              <a:sysClr val="windowText" lastClr="000000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50" kern="1200">
              <a:solidFill>
                <a:sysClr val="windowText" lastClr="000000"/>
              </a:solidFill>
            </a:rPr>
            <a:t>Сарадња са НСЗ 3,000,000</a:t>
          </a:r>
          <a:endParaRPr lang="en-US" sz="1050" kern="1200">
            <a:solidFill>
              <a:sysClr val="windowText" lastClr="000000"/>
            </a:solidFill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kern="1200"/>
        </a:p>
      </dsp:txBody>
      <dsp:txXfrm rot="-5400000">
        <a:off x="1979645" y="1954791"/>
        <a:ext cx="3475751" cy="806255"/>
      </dsp:txXfrm>
    </dsp:sp>
    <dsp:sp modelId="{D2F2CF0D-57E2-47F1-8524-A8C5B68AB583}">
      <dsp:nvSpPr>
        <dsp:cNvPr id="0" name=""/>
        <dsp:cNvSpPr/>
      </dsp:nvSpPr>
      <dsp:spPr>
        <a:xfrm>
          <a:off x="0" y="1785798"/>
          <a:ext cx="1979645" cy="717796"/>
        </a:xfrm>
        <a:prstGeom prst="round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ОПШТИНСКА УПРАВА  ЛОКАЛНИ ЕКОНОМ. РАЗВОЈ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5,500.000,00</a:t>
          </a:r>
          <a:endParaRPr lang="en-US" sz="1100" kern="1200"/>
        </a:p>
      </dsp:txBody>
      <dsp:txXfrm>
        <a:off x="35040" y="1820838"/>
        <a:ext cx="1909565" cy="647716"/>
      </dsp:txXfrm>
    </dsp:sp>
  </dsp:spTree>
</dsp:drawing>
</file>

<file path=word/diagrams/drawing16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73C7E5-6152-4B5C-ADA9-C24A85B4D387}">
      <dsp:nvSpPr>
        <dsp:cNvPr id="0" name=""/>
        <dsp:cNvSpPr/>
      </dsp:nvSpPr>
      <dsp:spPr>
        <a:xfrm>
          <a:off x="2254043" y="209"/>
          <a:ext cx="3381066" cy="9781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000" b="1" kern="1200"/>
            <a:t>  СПОРТСКЕ ОРГАНИЗАЦИЈЕ                   </a:t>
          </a:r>
          <a:r>
            <a:rPr lang="sr-Cyrl-RS" sz="1000" b="1" kern="1200"/>
            <a:t>19</a:t>
          </a:r>
          <a:r>
            <a:rPr lang="sr-Cyrl-CS" sz="1000" b="1" kern="1200"/>
            <a:t>,000.000</a:t>
          </a:r>
          <a:endParaRPr lang="en-US" sz="10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000" b="1" kern="1200"/>
            <a:t> УСТАНОВА СЦ КУЊАК                             </a:t>
          </a:r>
          <a:r>
            <a:rPr lang="sr-Cyrl-RS" sz="1000" b="1" kern="1200"/>
            <a:t>36,090</a:t>
          </a:r>
          <a:r>
            <a:rPr lang="sr-Cyrl-CS" sz="1000" b="1" kern="1200"/>
            <a:t>.000</a:t>
          </a:r>
          <a:endParaRPr lang="en-US" sz="10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00" b="1" kern="1200"/>
            <a:t> ОПРЕМАЊЕ ИГРАЛИШТА                       11,000.00</a:t>
          </a:r>
          <a:endParaRPr lang="en-US" sz="10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00" b="1" kern="1200"/>
            <a:t>оМЛАДИНСКА ПОЛИТИКА                        3,200.000</a:t>
          </a:r>
          <a:endParaRPr lang="en-US" sz="1000" b="1" kern="1200"/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solidFill>
              <a:sysClr val="windowText" lastClr="000000"/>
            </a:solidFill>
          </a:endParaRPr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kern="1200"/>
        </a:p>
      </dsp:txBody>
      <dsp:txXfrm>
        <a:off x="2254043" y="122479"/>
        <a:ext cx="3014256" cy="733621"/>
      </dsp:txXfrm>
    </dsp:sp>
    <dsp:sp modelId="{6010A0B6-F6DE-4A89-9D9A-BC6C151DDBA2}">
      <dsp:nvSpPr>
        <dsp:cNvPr id="0" name=""/>
        <dsp:cNvSpPr/>
      </dsp:nvSpPr>
      <dsp:spPr>
        <a:xfrm>
          <a:off x="0" y="141498"/>
          <a:ext cx="2254044" cy="728563"/>
        </a:xfrm>
        <a:prstGeom prst="roundRect">
          <a:avLst/>
        </a:prstGeom>
        <a:gradFill rotWithShape="1">
          <a:gsLst>
            <a:gs pos="0">
              <a:schemeClr val="accent3">
                <a:tint val="70000"/>
                <a:satMod val="130000"/>
              </a:schemeClr>
            </a:gs>
            <a:gs pos="43000">
              <a:schemeClr val="accent3">
                <a:tint val="44000"/>
                <a:satMod val="165000"/>
              </a:schemeClr>
            </a:gs>
            <a:gs pos="93000">
              <a:schemeClr val="accent3">
                <a:tint val="15000"/>
                <a:satMod val="165000"/>
              </a:schemeClr>
            </a:gs>
            <a:gs pos="100000">
              <a:schemeClr val="accent3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ln w="9525" cap="flat" cmpd="sng" algn="ctr">
          <a:solidFill>
            <a:schemeClr val="accent3">
              <a:shade val="50000"/>
              <a:satMod val="103000"/>
            </a:schemeClr>
          </a:solidFill>
          <a:prstDash val="solid"/>
        </a:ln>
        <a:effectLst>
          <a:outerShdw blurRad="57150" dist="38100" dir="5400000" algn="ctr" rotWithShape="0">
            <a:schemeClr val="accent3">
              <a:shade val="9000"/>
              <a:satMod val="105000"/>
              <a:alpha val="48000"/>
            </a:scheme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РЕКРЕАЦИЈА И СПОРТ  </a:t>
          </a:r>
          <a:r>
            <a:rPr lang="sr-Cyrl-RS" sz="1100" kern="1200"/>
            <a:t>69,29</a:t>
          </a:r>
          <a:r>
            <a:rPr lang="sr-Cyrl-CS" sz="1100" kern="1200"/>
            <a:t>0.000,00 ДИНАРА</a:t>
          </a:r>
          <a:endParaRPr lang="en-US" sz="1100" kern="1200"/>
        </a:p>
      </dsp:txBody>
      <dsp:txXfrm>
        <a:off x="35566" y="177064"/>
        <a:ext cx="2182912" cy="657431"/>
      </dsp:txXfrm>
    </dsp:sp>
    <dsp:sp modelId="{665ED22F-04F7-4597-ACFC-ECD60E2A6457}">
      <dsp:nvSpPr>
        <dsp:cNvPr id="0" name=""/>
        <dsp:cNvSpPr/>
      </dsp:nvSpPr>
      <dsp:spPr>
        <a:xfrm>
          <a:off x="2254043" y="1247363"/>
          <a:ext cx="3381066" cy="1358985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/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000" b="1" kern="1200"/>
            <a:t> ПОДРШКА НВО СЕКТОРУ ИЗ ОБЛАСТИ КУЛТУРЕ са</a:t>
          </a:r>
          <a:r>
            <a:rPr lang="sr-Cyrl-CS" sz="1000" b="0" kern="1200"/>
            <a:t> </a:t>
          </a:r>
          <a:r>
            <a:rPr lang="sr-Cyrl-CS" sz="1000" b="1" kern="1200"/>
            <a:t>укупно                                                                3,500.000 </a:t>
          </a:r>
          <a:endParaRPr lang="en-US" sz="1000" b="1" kern="1200"/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00" b="1" kern="1200"/>
            <a:t> ЦЕНТАР КУЛТУРЕ- функционисање       35,460.000</a:t>
          </a:r>
          <a:endParaRPr lang="en-US" sz="1000" b="1" kern="1200"/>
        </a:p>
      </dsp:txBody>
      <dsp:txXfrm>
        <a:off x="2254043" y="1417236"/>
        <a:ext cx="2871447" cy="1019239"/>
      </dsp:txXfrm>
    </dsp:sp>
    <dsp:sp modelId="{9CD66F17-BCE1-42F5-9936-9A6D2464FD13}">
      <dsp:nvSpPr>
        <dsp:cNvPr id="0" name=""/>
        <dsp:cNvSpPr/>
      </dsp:nvSpPr>
      <dsp:spPr>
        <a:xfrm>
          <a:off x="0" y="1414570"/>
          <a:ext cx="2254044" cy="892022"/>
        </a:xfrm>
        <a:prstGeom prst="roundRect">
          <a:avLst/>
        </a:prstGeom>
        <a:gradFill rotWithShape="1">
          <a:gsLst>
            <a:gs pos="0">
              <a:schemeClr val="accent4">
                <a:tint val="70000"/>
                <a:satMod val="130000"/>
              </a:schemeClr>
            </a:gs>
            <a:gs pos="43000">
              <a:schemeClr val="accent4">
                <a:tint val="44000"/>
                <a:satMod val="165000"/>
              </a:schemeClr>
            </a:gs>
            <a:gs pos="93000">
              <a:schemeClr val="accent4">
                <a:tint val="15000"/>
                <a:satMod val="165000"/>
              </a:schemeClr>
            </a:gs>
            <a:gs pos="100000">
              <a:schemeClr val="accent4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ln w="9525" cap="flat" cmpd="sng" algn="ctr">
          <a:solidFill>
            <a:schemeClr val="accent4">
              <a:shade val="50000"/>
              <a:satMod val="103000"/>
            </a:schemeClr>
          </a:solidFill>
          <a:prstDash val="solid"/>
        </a:ln>
        <a:effectLst>
          <a:outerShdw blurRad="57150" dist="38100" dir="5400000" algn="ctr" rotWithShape="0">
            <a:schemeClr val="accent4">
              <a:shade val="9000"/>
              <a:satMod val="105000"/>
              <a:alpha val="48000"/>
            </a:scheme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КУЛТУРА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100" kern="1200"/>
            <a:t>38,96</a:t>
          </a:r>
          <a:r>
            <a:rPr lang="sr-Cyrl-CS" sz="1100" kern="1200"/>
            <a:t>0.000,00 ДИНАРА</a:t>
          </a:r>
          <a:endParaRPr lang="en-US" sz="1100" kern="1200"/>
        </a:p>
      </dsp:txBody>
      <dsp:txXfrm>
        <a:off x="43545" y="1458115"/>
        <a:ext cx="2166954" cy="804932"/>
      </dsp:txXfrm>
    </dsp:sp>
    <dsp:sp modelId="{00129EC5-8428-412B-809C-1AD7B8E8DC1C}">
      <dsp:nvSpPr>
        <dsp:cNvPr id="0" name=""/>
        <dsp:cNvSpPr/>
      </dsp:nvSpPr>
      <dsp:spPr>
        <a:xfrm>
          <a:off x="2254043" y="2685460"/>
          <a:ext cx="3381066" cy="114513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подразумева субвенционисање медијских кућа у циљу остваривања јавног интереса у области информисања. Овај вид подршке информисању реализује се путем конкурса</a:t>
          </a:r>
          <a:endParaRPr lang="en-US" sz="1100" kern="1200"/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600" kern="1200"/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600" kern="1200"/>
        </a:p>
      </dsp:txBody>
      <dsp:txXfrm>
        <a:off x="2254043" y="2828602"/>
        <a:ext cx="2951641" cy="858849"/>
      </dsp:txXfrm>
    </dsp:sp>
    <dsp:sp modelId="{C6145357-8FAF-4020-9E7C-5FA7BCD99A04}">
      <dsp:nvSpPr>
        <dsp:cNvPr id="0" name=""/>
        <dsp:cNvSpPr/>
      </dsp:nvSpPr>
      <dsp:spPr>
        <a:xfrm>
          <a:off x="0" y="2835368"/>
          <a:ext cx="2254044" cy="814528"/>
        </a:xfrm>
        <a:prstGeom prst="roundRect">
          <a:avLst/>
        </a:prstGeom>
        <a:gradFill rotWithShape="1">
          <a:gsLst>
            <a:gs pos="0">
              <a:schemeClr val="accent2">
                <a:tint val="70000"/>
                <a:satMod val="130000"/>
              </a:schemeClr>
            </a:gs>
            <a:gs pos="43000">
              <a:schemeClr val="accent2">
                <a:tint val="44000"/>
                <a:satMod val="165000"/>
              </a:schemeClr>
            </a:gs>
            <a:gs pos="93000">
              <a:schemeClr val="accent2">
                <a:tint val="15000"/>
                <a:satMod val="165000"/>
              </a:schemeClr>
            </a:gs>
            <a:gs pos="100000">
              <a:schemeClr val="accent2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ln w="9525" cap="flat" cmpd="sng" algn="ctr">
          <a:solidFill>
            <a:schemeClr val="accent2">
              <a:shade val="50000"/>
              <a:satMod val="103000"/>
            </a:schemeClr>
          </a:solidFill>
          <a:prstDash val="solid"/>
        </a:ln>
        <a:effectLst>
          <a:outerShdw blurRad="57150" dist="38100" dir="5400000" algn="ctr" rotWithShape="0">
            <a:schemeClr val="accent2">
              <a:shade val="9000"/>
              <a:satMod val="105000"/>
              <a:alpha val="48000"/>
            </a:scheme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ИНФОРМИСАЊЕ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4.5</a:t>
          </a:r>
          <a:r>
            <a:rPr lang="sr-Cyrl-CS" sz="1100" kern="1200"/>
            <a:t>00.000,00 ДИНАРА</a:t>
          </a:r>
          <a:endParaRPr lang="en-US" sz="1100" kern="1200"/>
        </a:p>
      </dsp:txBody>
      <dsp:txXfrm>
        <a:off x="39762" y="2875130"/>
        <a:ext cx="2174520" cy="735004"/>
      </dsp:txXfrm>
    </dsp:sp>
  </dsp:spTree>
</dsp:drawing>
</file>

<file path=word/diagrams/layout150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5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157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15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69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50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9C940-B71A-4D67-AC91-76216060F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3560</TotalTime>
  <Application>LibreOffice/4.4.0.3$Windows_x86 LibreOffice_project/de093506bcdc5fafd9023ee680b8c60e3e0645d7</Application>
  <Paragraphs>576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2017-12-15T10:09:00Z</dcterms:created>
  <dc:creator>Branka</dc:creator>
  <dc:language>en-US</dc:language>
  <cp:lastPrinted>2024-01-10T07:33:00Z</cp:lastPrinted>
  <dcterms:modified xsi:type="dcterms:W3CDTF">2026-06-12T13:45:02Z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